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F21DA" w14:textId="3EE8FAB4" w:rsidR="00614435" w:rsidRDefault="00EC58F7" w:rsidP="00F1407E">
      <w:pPr>
        <w:rPr>
          <w:b/>
          <w:u w:val="single"/>
        </w:rPr>
      </w:pPr>
      <w:r>
        <w:rPr>
          <w:b/>
          <w:u w:val="single"/>
        </w:rPr>
        <w:t xml:space="preserve">Žádosti o vysvětlení: </w:t>
      </w:r>
      <w:r w:rsidR="00614435">
        <w:rPr>
          <w:b/>
          <w:u w:val="single"/>
        </w:rPr>
        <w:t>VZ Modernizace silnice II/324 Staré Hradiště – Hrobice (průtah)</w:t>
      </w:r>
    </w:p>
    <w:p w14:paraId="4C11AE74" w14:textId="77777777" w:rsidR="004E0637" w:rsidRDefault="004E0637" w:rsidP="00A43F9F">
      <w:pPr>
        <w:rPr>
          <w:b/>
          <w:u w:val="single"/>
        </w:rPr>
      </w:pPr>
    </w:p>
    <w:p w14:paraId="230498F9" w14:textId="5F7CB231" w:rsidR="00A43F9F" w:rsidRPr="00614435" w:rsidRDefault="00A43F9F" w:rsidP="00A43F9F">
      <w:pPr>
        <w:rPr>
          <w:b/>
          <w:u w:val="single"/>
        </w:rPr>
      </w:pPr>
      <w:r w:rsidRPr="00614435">
        <w:rPr>
          <w:b/>
          <w:u w:val="single"/>
        </w:rPr>
        <w:t xml:space="preserve">Odpověď k dotazu č. </w:t>
      </w:r>
      <w:r>
        <w:rPr>
          <w:b/>
          <w:u w:val="single"/>
        </w:rPr>
        <w:t>3</w:t>
      </w:r>
      <w:r w:rsidRPr="00614435">
        <w:rPr>
          <w:b/>
          <w:u w:val="single"/>
        </w:rPr>
        <w:t xml:space="preserve"> ze dne </w:t>
      </w:r>
      <w:r>
        <w:rPr>
          <w:b/>
          <w:u w:val="single"/>
        </w:rPr>
        <w:t>31. 1.</w:t>
      </w:r>
      <w:r w:rsidRPr="00614435">
        <w:rPr>
          <w:b/>
          <w:u w:val="single"/>
        </w:rPr>
        <w:t xml:space="preserve"> 2024:</w:t>
      </w:r>
    </w:p>
    <w:p w14:paraId="5BF633A5" w14:textId="4133A3FC" w:rsidR="00A43F9F" w:rsidRDefault="00A43F9F" w:rsidP="00A43F9F">
      <w:pPr>
        <w:jc w:val="both"/>
        <w:rPr>
          <w:i/>
          <w:iCs/>
        </w:rPr>
      </w:pPr>
      <w:r>
        <w:rPr>
          <w:u w:val="single"/>
        </w:rPr>
        <w:t>Dotaz:</w:t>
      </w:r>
      <w:r>
        <w:rPr>
          <w:i/>
          <w:iCs/>
        </w:rPr>
        <w:t xml:space="preserve">   </w:t>
      </w:r>
      <w:r w:rsidRPr="00A43F9F">
        <w:t>Zadavatel uvádí v zadávací dokumentaci, konkrétně ve výkazu výměr, požadavek na svodidlo NH4 s konkrétními požadavky na trubkovou spojku, tloušťku svodnice a sloupek, což je odkaz na výrobce Liberty a. s. Tento požadavek je ze strany zadavatele diskriminační. Základním parametrem pro návrh svodidel je úroveň zadržení, dynamický průhyb, pracovní šířka a případně výška obruby, pokud bylo svodidlo při nárazové zkoušce osazeno na obrubě (viz. TP114). Vymezením technických podmínek nesmí bezdůvodně (nebo účelově) zvýhodnit či znevýhodnit některé dodavatele. Pokud by technické podmínky byly stanoveny bezdůvodně přísně, mohlo by jít o jednání, které brání řádné hospodářské soutěži.</w:t>
      </w:r>
      <w:r>
        <w:rPr>
          <w:i/>
          <w:iCs/>
        </w:rPr>
        <w:br/>
      </w:r>
      <w:r w:rsidRPr="00EC58F7">
        <w:t>Žádáme zadavatele o změnu technických parametrů pro určení typu svodidla.</w:t>
      </w:r>
    </w:p>
    <w:p w14:paraId="64B6A7D6" w14:textId="7E2048CC" w:rsidR="003A0A05" w:rsidRPr="00EC58F7" w:rsidRDefault="00A43F9F" w:rsidP="003A0A05">
      <w:pPr>
        <w:rPr>
          <w:i/>
          <w:color w:val="FF0000"/>
        </w:rPr>
      </w:pPr>
      <w:r w:rsidRPr="00EC58F7">
        <w:rPr>
          <w:i/>
          <w:color w:val="FF0000"/>
          <w:u w:val="single"/>
        </w:rPr>
        <w:t xml:space="preserve">Odpověď: </w:t>
      </w:r>
      <w:r w:rsidR="004E0637">
        <w:rPr>
          <w:i/>
          <w:color w:val="FF0000"/>
        </w:rPr>
        <w:t xml:space="preserve"> </w:t>
      </w:r>
      <w:r w:rsidRPr="00EC58F7">
        <w:rPr>
          <w:i/>
          <w:color w:val="FF0000"/>
        </w:rPr>
        <w:t>Zadavatel provedl úpravu</w:t>
      </w:r>
      <w:r w:rsidR="003A0A05">
        <w:rPr>
          <w:i/>
          <w:color w:val="FF0000"/>
        </w:rPr>
        <w:t xml:space="preserve"> položek pro určení typu svodidla</w:t>
      </w:r>
      <w:r w:rsidRPr="00EC58F7">
        <w:rPr>
          <w:i/>
          <w:color w:val="FF0000"/>
        </w:rPr>
        <w:t xml:space="preserve"> v Soupisu prací</w:t>
      </w:r>
      <w:r w:rsidR="003A0A05">
        <w:rPr>
          <w:i/>
          <w:color w:val="FF0000"/>
        </w:rPr>
        <w:t xml:space="preserve"> -  </w:t>
      </w:r>
      <w:r w:rsidR="003A0A05" w:rsidRPr="00616368">
        <w:rPr>
          <w:i/>
          <w:color w:val="FF0000"/>
        </w:rPr>
        <w:t>F.1-SOUPIS PRACI-revize 9.2.2024_FIDIC</w:t>
      </w:r>
      <w:r w:rsidR="003A0A05">
        <w:rPr>
          <w:i/>
          <w:color w:val="FF0000"/>
        </w:rPr>
        <w:t xml:space="preserve">, </w:t>
      </w:r>
      <w:r w:rsidR="003A0A05" w:rsidRPr="00EC58F7">
        <w:rPr>
          <w:i/>
          <w:color w:val="FF0000"/>
        </w:rPr>
        <w:t>který v plném rozsahu</w:t>
      </w:r>
      <w:r w:rsidR="003A0A05">
        <w:rPr>
          <w:i/>
          <w:color w:val="FF0000"/>
        </w:rPr>
        <w:t xml:space="preserve"> nahrazuje původní Soupis prací.</w:t>
      </w:r>
    </w:p>
    <w:p w14:paraId="28FA4ABE" w14:textId="77777777" w:rsidR="00A43F9F" w:rsidRDefault="00A43F9F" w:rsidP="00A43F9F">
      <w:pPr>
        <w:rPr>
          <w:color w:val="1F497D"/>
        </w:rPr>
      </w:pPr>
    </w:p>
    <w:p w14:paraId="6F164A15" w14:textId="02CB5F84" w:rsidR="00920780" w:rsidRPr="00614435" w:rsidRDefault="00920780" w:rsidP="00F1407E">
      <w:pPr>
        <w:rPr>
          <w:b/>
          <w:u w:val="single"/>
        </w:rPr>
      </w:pPr>
      <w:r w:rsidRPr="00614435">
        <w:rPr>
          <w:b/>
          <w:u w:val="single"/>
        </w:rPr>
        <w:t xml:space="preserve">Odpověď k dotazu č. 5 ze dne </w:t>
      </w:r>
      <w:r w:rsidR="00614435" w:rsidRPr="00614435">
        <w:rPr>
          <w:b/>
          <w:u w:val="single"/>
        </w:rPr>
        <w:t>7. 2. 2024</w:t>
      </w:r>
      <w:r w:rsidRPr="00614435">
        <w:rPr>
          <w:b/>
          <w:u w:val="single"/>
        </w:rPr>
        <w:t>:</w:t>
      </w:r>
    </w:p>
    <w:p w14:paraId="27404C62" w14:textId="21CA75CF" w:rsidR="00F1407E" w:rsidRDefault="00F1407E" w:rsidP="009727C3">
      <w:pPr>
        <w:pStyle w:val="Odstavecseseznamem"/>
        <w:numPr>
          <w:ilvl w:val="0"/>
          <w:numId w:val="1"/>
        </w:numPr>
        <w:jc w:val="both"/>
      </w:pPr>
      <w:r>
        <w:t xml:space="preserve">U svislého dopravního značení jsou v soupisu prací uvedeny pouze dodávka a montáž značek (např. </w:t>
      </w:r>
      <w:r w:rsidRPr="00F1407E">
        <w:t>914121</w:t>
      </w:r>
      <w:r>
        <w:t xml:space="preserve"> </w:t>
      </w:r>
      <w:r w:rsidRPr="00F1407E">
        <w:t>DOPRAVNÍ ZNAČKY ZÁKLADNÍ VELIKOSTI OCELOVÉ FÓLIE TŘ 1 - DODÁVKA A MONTÁŽ</w:t>
      </w:r>
      <w:r>
        <w:t xml:space="preserve"> 28 ks). Nejsou však uvedeny položky na nové sloupky (např. </w:t>
      </w:r>
      <w:r>
        <w:rPr>
          <w:color w:val="212121"/>
        </w:rPr>
        <w:t>914 921 SLOUPKY A STOJKY DOPRAVNÍCH ZNAČEK Z OCEL TRUBEK DO PATKY - DODÁVKA A MONTÁŽ). Doplní zadavatel položky nebo máme kalkulovat s tím, že značky budou montovány na původní sloupky a patky?</w:t>
      </w:r>
      <w:r>
        <w:t xml:space="preserve"> </w:t>
      </w:r>
    </w:p>
    <w:p w14:paraId="7B6B4BFB" w14:textId="5E4EC681" w:rsidR="00CC044B" w:rsidRDefault="00CC044B" w:rsidP="00CC044B">
      <w:pPr>
        <w:pStyle w:val="Odstavecseseznamem"/>
      </w:pPr>
    </w:p>
    <w:p w14:paraId="0F22397A" w14:textId="2197B2E4" w:rsidR="00CC044B" w:rsidRDefault="00CC044B" w:rsidP="00CC044B">
      <w:pPr>
        <w:pStyle w:val="Odstavecseseznamem"/>
      </w:pPr>
      <w:r w:rsidRPr="00810C2E">
        <w:rPr>
          <w:rFonts w:eastAsia="Times New Roman"/>
          <w:i/>
          <w:u w:val="single"/>
        </w:rPr>
        <w:t>Odpověď</w:t>
      </w:r>
      <w:r w:rsidRPr="00810C2E">
        <w:rPr>
          <w:rFonts w:eastAsia="Times New Roman"/>
          <w:i/>
        </w:rPr>
        <w:t xml:space="preserve">: </w:t>
      </w:r>
      <w:r w:rsidRPr="00EC58F7">
        <w:rPr>
          <w:rFonts w:eastAsia="Times New Roman"/>
          <w:i/>
          <w:color w:val="FF0000"/>
        </w:rPr>
        <w:t xml:space="preserve">bylo doplněno </w:t>
      </w:r>
      <w:r w:rsidR="00920780" w:rsidRPr="00EC58F7">
        <w:rPr>
          <w:rFonts w:eastAsia="Times New Roman"/>
          <w:i/>
          <w:color w:val="FF0000"/>
        </w:rPr>
        <w:t xml:space="preserve">do </w:t>
      </w:r>
      <w:r w:rsidR="003A0A05">
        <w:rPr>
          <w:rFonts w:eastAsia="Times New Roman"/>
          <w:i/>
          <w:color w:val="FF0000"/>
        </w:rPr>
        <w:t>S</w:t>
      </w:r>
      <w:r w:rsidR="00920780" w:rsidRPr="00EC58F7">
        <w:rPr>
          <w:rFonts w:eastAsia="Times New Roman"/>
          <w:i/>
          <w:color w:val="FF0000"/>
        </w:rPr>
        <w:t>oupisu prací</w:t>
      </w:r>
      <w:r w:rsidR="00EC58F7" w:rsidRPr="00EC58F7">
        <w:rPr>
          <w:i/>
          <w:color w:val="FF0000"/>
        </w:rPr>
        <w:t xml:space="preserve"> </w:t>
      </w:r>
      <w:r w:rsidR="00EC58F7" w:rsidRPr="00616368">
        <w:rPr>
          <w:i/>
          <w:color w:val="FF0000"/>
        </w:rPr>
        <w:t>F.1-SOUPIS PRACI-revize 9.2.2024_FIDIC</w:t>
      </w:r>
      <w:r w:rsidR="003A0A05">
        <w:rPr>
          <w:i/>
          <w:color w:val="FF0000"/>
        </w:rPr>
        <w:t>.</w:t>
      </w:r>
      <w:r w:rsidR="00920780">
        <w:rPr>
          <w:rFonts w:eastAsia="Times New Roman"/>
          <w:i/>
        </w:rPr>
        <w:t xml:space="preserve"> </w:t>
      </w:r>
    </w:p>
    <w:p w14:paraId="5448EF8E" w14:textId="77777777" w:rsidR="002273B6" w:rsidRDefault="002273B6" w:rsidP="002273B6">
      <w:pPr>
        <w:pStyle w:val="Odstavecseseznamem"/>
      </w:pPr>
    </w:p>
    <w:p w14:paraId="59A97132" w14:textId="49CB0D10" w:rsidR="002273B6" w:rsidRDefault="002273B6" w:rsidP="00E32C5A">
      <w:pPr>
        <w:pStyle w:val="Odstavecseseznamem"/>
        <w:numPr>
          <w:ilvl w:val="0"/>
          <w:numId w:val="1"/>
        </w:numPr>
        <w:spacing w:after="0" w:line="240" w:lineRule="auto"/>
        <w:contextualSpacing w:val="0"/>
        <w:jc w:val="both"/>
        <w:rPr>
          <w:rFonts w:eastAsia="Times New Roman"/>
        </w:rPr>
      </w:pPr>
      <w:r>
        <w:rPr>
          <w:rFonts w:eastAsia="Times New Roman"/>
        </w:rPr>
        <w:t>V Příloze k nabídce je uvedeno, že jméno Správce stavby bude doplněno před uzavřením Smlouvy a že záměrem Objednatele je zajistit výkon funkce Správce stavby prostřednictví třetí osoby. Dle Pod-čl. 1.1.2.4 Obecných podmínek je Správce stavby osoba jmenovaná Objednatelem a uvedená v Příloze k nabídce. Jelikož si uchazeč uvědomuje zásadní roli Správce stavby pro zdárnou realizaci Díla, tak žádá o sdělení jména konkrétní osoby v souladu s obecnými podmínkami.</w:t>
      </w:r>
    </w:p>
    <w:p w14:paraId="3EAB54DE" w14:textId="77777777" w:rsidR="00247019" w:rsidRPr="00247019" w:rsidRDefault="00247019" w:rsidP="00E32C5A">
      <w:pPr>
        <w:pStyle w:val="Odstavecseseznamem"/>
        <w:jc w:val="both"/>
        <w:rPr>
          <w:rFonts w:eastAsia="Times New Roman"/>
        </w:rPr>
      </w:pPr>
    </w:p>
    <w:p w14:paraId="18FD654A" w14:textId="73469291" w:rsidR="00247019" w:rsidRPr="00EC58F7" w:rsidRDefault="00E32C5A" w:rsidP="00810C2E">
      <w:pPr>
        <w:pStyle w:val="Odstavecseseznamem"/>
        <w:spacing w:after="0" w:line="240" w:lineRule="auto"/>
        <w:contextualSpacing w:val="0"/>
        <w:jc w:val="both"/>
        <w:rPr>
          <w:rFonts w:eastAsia="Times New Roman"/>
          <w:i/>
          <w:color w:val="FF0000"/>
        </w:rPr>
      </w:pPr>
      <w:r w:rsidRPr="00810C2E">
        <w:rPr>
          <w:rFonts w:eastAsia="Times New Roman"/>
          <w:i/>
          <w:u w:val="single"/>
        </w:rPr>
        <w:t>Odpověď</w:t>
      </w:r>
      <w:r w:rsidRPr="00810C2E">
        <w:rPr>
          <w:rFonts w:eastAsia="Times New Roman"/>
          <w:i/>
        </w:rPr>
        <w:t xml:space="preserve">: </w:t>
      </w:r>
      <w:r w:rsidR="00247019" w:rsidRPr="00EC58F7">
        <w:rPr>
          <w:rFonts w:eastAsia="Times New Roman"/>
          <w:i/>
          <w:color w:val="FF0000"/>
        </w:rPr>
        <w:t xml:space="preserve">Záměrem zadavatele (Objednatele) je zajistit výkon funkce Správce stavby prostřednictvím třetí osoby (externí), která vzejde jako vítěz ze zadávacího řízení. Do té doby bude funkci Správce stavby vykonávat zaměstnanec Objednatele </w:t>
      </w:r>
      <w:r w:rsidRPr="00EC58F7">
        <w:rPr>
          <w:rFonts w:eastAsia="Times New Roman"/>
          <w:i/>
          <w:color w:val="FF0000"/>
        </w:rPr>
        <w:t>Ing. Radka Kroutilová.</w:t>
      </w:r>
    </w:p>
    <w:p w14:paraId="54686560" w14:textId="77777777" w:rsidR="002273B6" w:rsidRPr="00EC58F7" w:rsidRDefault="002273B6" w:rsidP="00E32C5A">
      <w:pPr>
        <w:pStyle w:val="Odstavecseseznamem"/>
        <w:rPr>
          <w:color w:val="FF0000"/>
        </w:rPr>
      </w:pPr>
    </w:p>
    <w:p w14:paraId="44060863" w14:textId="48C4BC2E" w:rsidR="002273B6" w:rsidRDefault="002273B6" w:rsidP="00E32C5A">
      <w:pPr>
        <w:pStyle w:val="Odstavecseseznamem"/>
        <w:numPr>
          <w:ilvl w:val="0"/>
          <w:numId w:val="1"/>
        </w:numPr>
        <w:spacing w:after="0" w:line="240" w:lineRule="auto"/>
        <w:contextualSpacing w:val="0"/>
        <w:jc w:val="both"/>
        <w:rPr>
          <w:rFonts w:eastAsia="Times New Roman"/>
        </w:rPr>
      </w:pPr>
      <w:r w:rsidRPr="00E32C5A">
        <w:rPr>
          <w:color w:val="212121"/>
        </w:rPr>
        <w:t>V Příloze k nabídce je uvedeno, že komunikace bude probíhat přes Společné datové prostředí. Chápeme správně, že náklady na zřízení, údržbu a provoz tohoto datového prostředí, včetně</w:t>
      </w:r>
      <w:r>
        <w:rPr>
          <w:rFonts w:eastAsia="Times New Roman"/>
        </w:rPr>
        <w:t xml:space="preserve"> jednotlivých přístupových účtů Zhotovitele, ponese Objednatel?</w:t>
      </w:r>
    </w:p>
    <w:p w14:paraId="0FB1E428" w14:textId="77777777" w:rsidR="00247019" w:rsidRPr="00E32C5A" w:rsidRDefault="00247019" w:rsidP="00E32C5A">
      <w:pPr>
        <w:pStyle w:val="Odstavecseseznamem"/>
        <w:spacing w:after="0" w:line="240" w:lineRule="auto"/>
        <w:contextualSpacing w:val="0"/>
        <w:jc w:val="both"/>
        <w:rPr>
          <w:rFonts w:eastAsia="Times New Roman"/>
        </w:rPr>
      </w:pPr>
    </w:p>
    <w:p w14:paraId="3E73FD23" w14:textId="3A809CA1" w:rsidR="00247019" w:rsidRPr="00EC58F7" w:rsidRDefault="00E32C5A" w:rsidP="00E32C5A">
      <w:pPr>
        <w:pStyle w:val="Odstavecseseznamem"/>
        <w:spacing w:after="0" w:line="240" w:lineRule="auto"/>
        <w:contextualSpacing w:val="0"/>
        <w:jc w:val="both"/>
        <w:rPr>
          <w:rFonts w:eastAsia="Times New Roman"/>
          <w:i/>
          <w:color w:val="FF0000"/>
        </w:rPr>
      </w:pPr>
      <w:r w:rsidRPr="00E32C5A">
        <w:rPr>
          <w:rFonts w:eastAsia="Times New Roman"/>
          <w:i/>
          <w:u w:val="single"/>
        </w:rPr>
        <w:t>Odpověď:</w:t>
      </w:r>
      <w:r>
        <w:rPr>
          <w:rFonts w:eastAsia="Times New Roman"/>
          <w:i/>
        </w:rPr>
        <w:t xml:space="preserve"> </w:t>
      </w:r>
      <w:r w:rsidR="00247019" w:rsidRPr="00EC58F7">
        <w:rPr>
          <w:rFonts w:eastAsia="Times New Roman"/>
          <w:i/>
          <w:color w:val="FF0000"/>
        </w:rPr>
        <w:t>Ano, objednatel poskytne též licence pro přístup a potřebná školení včetně autorizovaného osvědčení vyžadovaném v příloze A-I, bodě 3.1 pro tým Dodavatele</w:t>
      </w:r>
      <w:r w:rsidR="003A0A05">
        <w:rPr>
          <w:rFonts w:eastAsia="Times New Roman"/>
          <w:i/>
          <w:color w:val="FF0000"/>
        </w:rPr>
        <w:t xml:space="preserve"> </w:t>
      </w:r>
      <w:r w:rsidR="00247019" w:rsidRPr="00EC58F7">
        <w:rPr>
          <w:rFonts w:eastAsia="Times New Roman"/>
          <w:i/>
          <w:color w:val="FF0000"/>
        </w:rPr>
        <w:t xml:space="preserve">zdarma </w:t>
      </w:r>
      <w:r w:rsidR="003A0A05">
        <w:rPr>
          <w:rFonts w:eastAsia="Times New Roman"/>
          <w:i/>
          <w:color w:val="FF0000"/>
        </w:rPr>
        <w:t>.</w:t>
      </w:r>
    </w:p>
    <w:p w14:paraId="367CA91D" w14:textId="77777777" w:rsidR="002273B6" w:rsidRPr="00EC58F7" w:rsidRDefault="002273B6" w:rsidP="002273B6">
      <w:pPr>
        <w:pStyle w:val="Odstavecseseznamem"/>
        <w:rPr>
          <w:color w:val="FF0000"/>
        </w:rPr>
      </w:pPr>
    </w:p>
    <w:p w14:paraId="67708DA2" w14:textId="77777777" w:rsidR="002273B6" w:rsidRDefault="002273B6" w:rsidP="00810C2E">
      <w:pPr>
        <w:pStyle w:val="Odstavecseseznamem"/>
        <w:numPr>
          <w:ilvl w:val="0"/>
          <w:numId w:val="1"/>
        </w:numPr>
        <w:spacing w:after="0" w:line="240" w:lineRule="auto"/>
        <w:contextualSpacing w:val="0"/>
        <w:jc w:val="both"/>
        <w:rPr>
          <w:rFonts w:eastAsia="Times New Roman"/>
        </w:rPr>
      </w:pPr>
      <w:r>
        <w:rPr>
          <w:rFonts w:eastAsia="Times New Roman"/>
        </w:rPr>
        <w:t xml:space="preserve">V Příloze k nabídce je uvedeno, že postup měření a evidence bude v souladu s Metodikou měření pro účelu článku 12 Červené knihy FIDIC (SFDI). Jedním z cílů Metodiky je stanovení </w:t>
      </w:r>
      <w:r>
        <w:rPr>
          <w:rFonts w:eastAsia="Times New Roman"/>
        </w:rPr>
        <w:lastRenderedPageBreak/>
        <w:t>způsobu měření tak, aby při realizaci nedocházelo ke sporům a aby mohl uchazeč správně nacenit náklady s tím spojené a připočítat je do konkrétních položek. Vzhledem k tomu, že žádná položka soupisu prací není dle článku 6.2 Metodiky označena písmenem „G“, tak máme za to, že všechny položky na stavbě spadají do Kategorie 2 ve smyslu jmenované Metodiky. Je naše úvaha správná?</w:t>
      </w:r>
    </w:p>
    <w:p w14:paraId="272529E7" w14:textId="77777777" w:rsidR="00810C2E" w:rsidRDefault="00810C2E" w:rsidP="00247019">
      <w:pPr>
        <w:pStyle w:val="Odstavecseseznamem"/>
        <w:rPr>
          <w:rFonts w:ascii="Aptos" w:hAnsi="Aptos"/>
          <w:color w:val="FF0000"/>
        </w:rPr>
      </w:pPr>
    </w:p>
    <w:p w14:paraId="1ED4F5DC" w14:textId="264DF64F" w:rsidR="00247019" w:rsidRPr="00EC58F7" w:rsidRDefault="00810C2E" w:rsidP="00810C2E">
      <w:pPr>
        <w:pStyle w:val="Odstavecseseznamem"/>
        <w:jc w:val="both"/>
        <w:rPr>
          <w:rFonts w:eastAsia="Times New Roman"/>
          <w:i/>
          <w:color w:val="FF0000"/>
        </w:rPr>
      </w:pPr>
      <w:r w:rsidRPr="00810C2E">
        <w:rPr>
          <w:rFonts w:eastAsia="Times New Roman"/>
          <w:i/>
          <w:u w:val="single"/>
        </w:rPr>
        <w:t>Odpověď</w:t>
      </w:r>
      <w:r w:rsidRPr="00810C2E">
        <w:rPr>
          <w:rFonts w:eastAsia="Times New Roman"/>
          <w:i/>
        </w:rPr>
        <w:t xml:space="preserve">: </w:t>
      </w:r>
      <w:r w:rsidR="00247019" w:rsidRPr="00EC58F7">
        <w:rPr>
          <w:rFonts w:eastAsia="Times New Roman"/>
          <w:i/>
          <w:color w:val="FF0000"/>
        </w:rPr>
        <w:t>Zadavatel uvádí, že úvaha uchazeče není správná. V soupisu prací existuje množství položek zařazených do Kategorie 1 – položky, které jsou označené písmenem G. Jedním z mnoha příkladů je položka: 0 - Všeobecné konstrukce a práce / 1 - Zemní práce / 13 / 113728 / FRÉZOVÁNÍ ZPEVNĚNÝCH PLOCH ASFALTOVÝCH, ODVOZ DO 20KM</w:t>
      </w:r>
    </w:p>
    <w:p w14:paraId="17EF08B2" w14:textId="77777777" w:rsidR="00810C2E" w:rsidRPr="00810C2E" w:rsidRDefault="00810C2E" w:rsidP="00810C2E">
      <w:pPr>
        <w:pStyle w:val="Odstavecseseznamem"/>
        <w:jc w:val="both"/>
        <w:rPr>
          <w:rFonts w:ascii="Aptos" w:hAnsi="Aptos"/>
          <w:i/>
        </w:rPr>
      </w:pPr>
    </w:p>
    <w:p w14:paraId="6AE8BEAE" w14:textId="61F1E2D6" w:rsidR="00247019" w:rsidRPr="00247019" w:rsidRDefault="00247019" w:rsidP="00247019">
      <w:pPr>
        <w:pStyle w:val="Odstavecseseznamem"/>
        <w:rPr>
          <w:rFonts w:ascii="Aptos" w:hAnsi="Aptos"/>
          <w:color w:val="FF0000"/>
        </w:rPr>
      </w:pPr>
      <w:r>
        <w:rPr>
          <w:noProof/>
          <w:lang w:eastAsia="cs-CZ"/>
        </w:rPr>
        <w:drawing>
          <wp:inline distT="0" distB="0" distL="0" distR="0" wp14:anchorId="470B7D5B" wp14:editId="400CD003">
            <wp:extent cx="5362575" cy="1045015"/>
            <wp:effectExtent l="0" t="0" r="0" b="3175"/>
            <wp:docPr id="1" name="Obrázek 1" descr="cid:image002.png@01DA5A78.B991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png@01DA5A78.B9911780"/>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5465039" cy="1064982"/>
                    </a:xfrm>
                    <a:prstGeom prst="rect">
                      <a:avLst/>
                    </a:prstGeom>
                    <a:noFill/>
                    <a:ln>
                      <a:noFill/>
                    </a:ln>
                  </pic:spPr>
                </pic:pic>
              </a:graphicData>
            </a:graphic>
          </wp:inline>
        </w:drawing>
      </w:r>
    </w:p>
    <w:p w14:paraId="7DE7F72B" w14:textId="77777777" w:rsidR="00247019" w:rsidRPr="00247019" w:rsidRDefault="00247019" w:rsidP="00247019">
      <w:pPr>
        <w:pStyle w:val="Odstavecseseznamem"/>
        <w:rPr>
          <w:rFonts w:ascii="Aptos" w:hAnsi="Aptos"/>
        </w:rPr>
      </w:pPr>
    </w:p>
    <w:p w14:paraId="63F6605B" w14:textId="77777777" w:rsidR="002273B6" w:rsidRDefault="002273B6" w:rsidP="002273B6">
      <w:pPr>
        <w:pStyle w:val="Odstavecseseznamem"/>
      </w:pPr>
    </w:p>
    <w:p w14:paraId="7DDB8176" w14:textId="482D5FE4" w:rsidR="002273B6" w:rsidRDefault="002273B6" w:rsidP="00810C2E">
      <w:pPr>
        <w:pStyle w:val="Odstavecseseznamem"/>
        <w:numPr>
          <w:ilvl w:val="0"/>
          <w:numId w:val="1"/>
        </w:numPr>
        <w:spacing w:after="0" w:line="240" w:lineRule="auto"/>
        <w:contextualSpacing w:val="0"/>
        <w:jc w:val="both"/>
        <w:rPr>
          <w:rFonts w:eastAsia="Times New Roman"/>
        </w:rPr>
      </w:pPr>
      <w:r>
        <w:rPr>
          <w:rFonts w:eastAsia="Times New Roman"/>
        </w:rPr>
        <w:t>V Příloze k nabídce je uvedeno, že Pod-čl. 13.8 Úpravy v důsledku změn nákladů se nepoužije. Uchazeč musí konstatovat, že se jedná u Červené knihy FIDIC o nestandardní řešení. Zvláštní podmínky v Pod-čl. 12.3 (c) říkají, že případné variace budou oceněny dle Expertních cen OTSKP v cenové úrovni roku, do kterého spadá Základní datum stavby. U Zelené knihy FIDIC, kde není s úpravou cen (valorizací) počítáno se případné variace oceňují dle Expertních cen OTSKP v cenové úrovni roku, kdy je variace předkládána. Máme za to, že ponechání platnosti Pod-čl. 13.8 je spravedlivější a odpovědnější řešení. Neuvažuje zadavatel o ponechání citovaného Pod-čl. nebo případně alespoň o úpravě znění ve smyslu Zelené knihy FIDIC?</w:t>
      </w:r>
    </w:p>
    <w:p w14:paraId="0FC495C2" w14:textId="03B1E47C" w:rsidR="00810C2E" w:rsidRDefault="00810C2E" w:rsidP="00810C2E">
      <w:pPr>
        <w:pStyle w:val="Odstavecseseznamem"/>
        <w:spacing w:after="0" w:line="240" w:lineRule="auto"/>
        <w:contextualSpacing w:val="0"/>
        <w:jc w:val="both"/>
        <w:rPr>
          <w:rFonts w:eastAsia="Times New Roman"/>
        </w:rPr>
      </w:pPr>
    </w:p>
    <w:p w14:paraId="2714FA17" w14:textId="2D77E4A9" w:rsidR="00247019" w:rsidRPr="00810C2E" w:rsidRDefault="00810C2E" w:rsidP="00810C2E">
      <w:pPr>
        <w:pStyle w:val="Odstavecseseznamem"/>
        <w:spacing w:after="0" w:line="240" w:lineRule="auto"/>
        <w:contextualSpacing w:val="0"/>
        <w:jc w:val="both"/>
        <w:rPr>
          <w:rFonts w:eastAsia="Times New Roman"/>
          <w:i/>
        </w:rPr>
      </w:pPr>
      <w:r w:rsidRPr="00810C2E">
        <w:rPr>
          <w:rFonts w:eastAsia="Times New Roman"/>
          <w:i/>
          <w:u w:val="single"/>
        </w:rPr>
        <w:t>Odpověď</w:t>
      </w:r>
      <w:r w:rsidRPr="00810C2E">
        <w:rPr>
          <w:rFonts w:eastAsia="Times New Roman"/>
          <w:i/>
        </w:rPr>
        <w:t xml:space="preserve">: </w:t>
      </w:r>
      <w:r w:rsidR="00247019" w:rsidRPr="00EC58F7">
        <w:rPr>
          <w:rFonts w:eastAsia="Times New Roman"/>
          <w:i/>
          <w:color w:val="FF0000"/>
        </w:rPr>
        <w:t>Pod-článek 13.8 Úpravy v důsledku změn nákladů Smluvních podmínek se nepoužije.</w:t>
      </w:r>
    </w:p>
    <w:p w14:paraId="6B8C0248" w14:textId="77777777" w:rsidR="00810C2E" w:rsidRPr="00247019" w:rsidRDefault="00810C2E" w:rsidP="00810C2E">
      <w:pPr>
        <w:pStyle w:val="Odstavecseseznamem"/>
        <w:spacing w:after="0" w:line="240" w:lineRule="auto"/>
        <w:contextualSpacing w:val="0"/>
        <w:jc w:val="both"/>
        <w:rPr>
          <w:rFonts w:ascii="Aptos" w:hAnsi="Aptos"/>
        </w:rPr>
      </w:pPr>
    </w:p>
    <w:p w14:paraId="0B21AF0F" w14:textId="77777777" w:rsidR="00247019" w:rsidRPr="00EC58F7" w:rsidRDefault="00247019" w:rsidP="00810C2E">
      <w:pPr>
        <w:pStyle w:val="Odstavecseseznamem"/>
        <w:jc w:val="both"/>
        <w:rPr>
          <w:rFonts w:eastAsia="Times New Roman"/>
          <w:i/>
          <w:color w:val="FF0000"/>
        </w:rPr>
      </w:pPr>
      <w:r w:rsidRPr="00EC58F7">
        <w:rPr>
          <w:rFonts w:eastAsia="Times New Roman"/>
          <w:i/>
          <w:color w:val="FF0000"/>
        </w:rPr>
        <w:t>Obecné podmínky Zelené knihy Fidic nedefinují oceňování variací „dle Expertních cen OTSKP v cenové úrovni roku, kdy je variace předkládána“. Žadatel zřejmě uvádí úpravu v rámci určitých (dále nespecifikovaných) Zvláštních podmínek, kterou byly Obecné podmínky změněny. Zadavatel uvádí, že v současné době nepřipravuje žádné zadávací řízení podle Zelené knihy Fidic a ponechává Zvláštní podmínky ve stávajícím znění. </w:t>
      </w:r>
    </w:p>
    <w:p w14:paraId="26458387" w14:textId="77777777" w:rsidR="00247019" w:rsidRPr="00810C2E" w:rsidRDefault="00247019" w:rsidP="00810C2E">
      <w:pPr>
        <w:pStyle w:val="Odstavecseseznamem"/>
        <w:jc w:val="both"/>
        <w:rPr>
          <w:rFonts w:eastAsia="Times New Roman"/>
          <w:i/>
        </w:rPr>
      </w:pPr>
    </w:p>
    <w:p w14:paraId="1E7A2641" w14:textId="77777777" w:rsidR="002273B6" w:rsidRDefault="002273B6" w:rsidP="003A0A05">
      <w:pPr>
        <w:pStyle w:val="Odstavecseseznamem"/>
        <w:numPr>
          <w:ilvl w:val="0"/>
          <w:numId w:val="1"/>
        </w:numPr>
        <w:spacing w:after="0" w:line="240" w:lineRule="auto"/>
        <w:contextualSpacing w:val="0"/>
        <w:jc w:val="both"/>
        <w:rPr>
          <w:rFonts w:eastAsia="Times New Roman"/>
        </w:rPr>
      </w:pPr>
      <w:r>
        <w:rPr>
          <w:rFonts w:eastAsia="Times New Roman"/>
        </w:rPr>
        <w:t>V dokumentu „Nově nadefinované skupiny měření položek“ je v tabulkové části (čl. 2 a 3) několikrát uvedeno „Chyba! Nenalezen zdroj odkazů.“:</w:t>
      </w:r>
    </w:p>
    <w:p w14:paraId="4F1A5EC8" w14:textId="77777777" w:rsidR="002273B6" w:rsidRDefault="002273B6" w:rsidP="003A0A05">
      <w:pPr>
        <w:pStyle w:val="Odstavecseseznamem"/>
        <w:jc w:val="both"/>
      </w:pPr>
    </w:p>
    <w:p w14:paraId="41B31053" w14:textId="36315004" w:rsidR="002273B6" w:rsidRDefault="002273B6" w:rsidP="002273B6">
      <w:pPr>
        <w:pStyle w:val="Odstavecseseznamem"/>
      </w:pPr>
      <w:r>
        <w:rPr>
          <w:noProof/>
          <w:lang w:eastAsia="cs-CZ"/>
        </w:rPr>
        <w:lastRenderedPageBreak/>
        <w:drawing>
          <wp:inline distT="0" distB="0" distL="0" distR="0" wp14:anchorId="3EA7ECA8" wp14:editId="2AA27A0F">
            <wp:extent cx="5760720" cy="1669415"/>
            <wp:effectExtent l="0" t="0" r="1143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760720" cy="1669415"/>
                    </a:xfrm>
                    <a:prstGeom prst="rect">
                      <a:avLst/>
                    </a:prstGeom>
                    <a:noFill/>
                    <a:ln>
                      <a:noFill/>
                    </a:ln>
                  </pic:spPr>
                </pic:pic>
              </a:graphicData>
            </a:graphic>
          </wp:inline>
        </w:drawing>
      </w:r>
      <w:r>
        <w:rPr>
          <w:noProof/>
          <w:lang w:eastAsia="cs-CZ"/>
        </w:rPr>
        <w:drawing>
          <wp:inline distT="0" distB="0" distL="0" distR="0" wp14:anchorId="4B2EB382" wp14:editId="7E8AFBB8">
            <wp:extent cx="5760720" cy="1402080"/>
            <wp:effectExtent l="0" t="0" r="11430" b="762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1402080"/>
                    </a:xfrm>
                    <a:prstGeom prst="rect">
                      <a:avLst/>
                    </a:prstGeom>
                    <a:noFill/>
                    <a:ln>
                      <a:noFill/>
                    </a:ln>
                  </pic:spPr>
                </pic:pic>
              </a:graphicData>
            </a:graphic>
          </wp:inline>
        </w:drawing>
      </w:r>
    </w:p>
    <w:p w14:paraId="0D8608B0" w14:textId="77777777" w:rsidR="002273B6" w:rsidRDefault="002273B6" w:rsidP="002273B6">
      <w:pPr>
        <w:pStyle w:val="Odstavecseseznamem"/>
      </w:pPr>
      <w:r>
        <w:t>Prosíme zadavatele o opravu.</w:t>
      </w:r>
    </w:p>
    <w:p w14:paraId="6A07F4D1" w14:textId="77777777" w:rsidR="002273B6" w:rsidRDefault="002273B6" w:rsidP="002273B6">
      <w:pPr>
        <w:pStyle w:val="Odstavecseseznamem"/>
      </w:pPr>
    </w:p>
    <w:p w14:paraId="0482788A" w14:textId="1F56D5AA" w:rsidR="00247019" w:rsidRDefault="00810C2E" w:rsidP="00EC58F7">
      <w:pPr>
        <w:ind w:left="708"/>
        <w:jc w:val="both"/>
        <w:rPr>
          <w:rFonts w:eastAsia="Times New Roman"/>
          <w:i/>
          <w:color w:val="FF0000"/>
        </w:rPr>
      </w:pPr>
      <w:r w:rsidRPr="00810C2E">
        <w:rPr>
          <w:rFonts w:eastAsia="Times New Roman"/>
          <w:i/>
          <w:u w:val="single"/>
        </w:rPr>
        <w:t>Odpověď</w:t>
      </w:r>
      <w:r w:rsidRPr="00810C2E">
        <w:rPr>
          <w:rFonts w:eastAsia="Times New Roman"/>
          <w:i/>
        </w:rPr>
        <w:t xml:space="preserve">: </w:t>
      </w:r>
      <w:r w:rsidR="00247019" w:rsidRPr="00EC58F7">
        <w:rPr>
          <w:rFonts w:eastAsia="Times New Roman"/>
          <w:i/>
          <w:color w:val="FF0000"/>
        </w:rPr>
        <w:t xml:space="preserve">Zadavatel uvádí, že se jedná o chybu exportu a aktualizuje dokument, aby se „Chyba! Nenalezen zdroj odkazů.“ </w:t>
      </w:r>
      <w:r w:rsidR="00FA642D">
        <w:rPr>
          <w:rFonts w:eastAsia="Times New Roman"/>
          <w:i/>
          <w:color w:val="FF0000"/>
        </w:rPr>
        <w:t>n</w:t>
      </w:r>
      <w:r w:rsidR="00247019" w:rsidRPr="00EC58F7">
        <w:rPr>
          <w:rFonts w:eastAsia="Times New Roman"/>
          <w:i/>
          <w:color w:val="FF0000"/>
        </w:rPr>
        <w:t xml:space="preserve">ezobrazovala. </w:t>
      </w:r>
    </w:p>
    <w:p w14:paraId="2628F762" w14:textId="05059AA2" w:rsidR="00FA642D" w:rsidRPr="00EC58F7" w:rsidRDefault="00FA642D" w:rsidP="00EC58F7">
      <w:pPr>
        <w:ind w:left="708"/>
        <w:jc w:val="both"/>
        <w:rPr>
          <w:rFonts w:eastAsia="Times New Roman"/>
          <w:i/>
          <w:color w:val="FF0000"/>
        </w:rPr>
      </w:pPr>
      <w:r>
        <w:rPr>
          <w:rFonts w:eastAsia="Times New Roman"/>
          <w:i/>
          <w:color w:val="FF0000"/>
        </w:rPr>
        <w:t>Dokument  „</w:t>
      </w:r>
      <w:r>
        <w:rPr>
          <w:rFonts w:eastAsia="Times New Roman"/>
        </w:rPr>
        <w:t xml:space="preserve">Nově nadefinované skupiny měření položek </w:t>
      </w:r>
      <w:r w:rsidR="00284080">
        <w:rPr>
          <w:rFonts w:eastAsia="Times New Roman"/>
        </w:rPr>
        <w:t>–</w:t>
      </w:r>
      <w:r>
        <w:rPr>
          <w:rFonts w:eastAsia="Times New Roman"/>
        </w:rPr>
        <w:t xml:space="preserve"> </w:t>
      </w:r>
      <w:r w:rsidR="003A0A05">
        <w:rPr>
          <w:rFonts w:eastAsia="Times New Roman"/>
        </w:rPr>
        <w:t xml:space="preserve">oprava </w:t>
      </w:r>
      <w:r w:rsidR="00284080">
        <w:rPr>
          <w:rFonts w:eastAsia="Times New Roman"/>
        </w:rPr>
        <w:t xml:space="preserve">odkazů </w:t>
      </w:r>
      <w:r>
        <w:rPr>
          <w:rFonts w:eastAsia="Times New Roman"/>
        </w:rPr>
        <w:t>7.2.2024“</w:t>
      </w:r>
      <w:r w:rsidRPr="00FA642D">
        <w:rPr>
          <w:rFonts w:eastAsia="Times New Roman"/>
          <w:i/>
          <w:color w:val="FF0000"/>
        </w:rPr>
        <w:t xml:space="preserve"> </w:t>
      </w:r>
      <w:r w:rsidR="003A0A05">
        <w:rPr>
          <w:rFonts w:eastAsia="Times New Roman"/>
          <w:i/>
          <w:color w:val="FF0000"/>
        </w:rPr>
        <w:t>bude nově zveřejněn.</w:t>
      </w:r>
    </w:p>
    <w:p w14:paraId="7CCE687A" w14:textId="158B024A" w:rsidR="00614435" w:rsidRDefault="00614435" w:rsidP="00247019">
      <w:pPr>
        <w:ind w:left="708"/>
        <w:rPr>
          <w:rFonts w:eastAsia="Times New Roman"/>
          <w:i/>
        </w:rPr>
      </w:pPr>
    </w:p>
    <w:p w14:paraId="7B0BD834" w14:textId="705451D2" w:rsidR="00614435" w:rsidRPr="00614435" w:rsidRDefault="00614435" w:rsidP="00614435">
      <w:pPr>
        <w:rPr>
          <w:b/>
          <w:u w:val="single"/>
        </w:rPr>
      </w:pPr>
      <w:r w:rsidRPr="00614435">
        <w:rPr>
          <w:b/>
          <w:u w:val="single"/>
        </w:rPr>
        <w:t xml:space="preserve">Odpověď k dotazu č. </w:t>
      </w:r>
      <w:r w:rsidR="009727C3">
        <w:rPr>
          <w:b/>
          <w:u w:val="single"/>
        </w:rPr>
        <w:t>7</w:t>
      </w:r>
      <w:r w:rsidRPr="00614435">
        <w:rPr>
          <w:b/>
          <w:u w:val="single"/>
        </w:rPr>
        <w:t xml:space="preserve"> ze dne </w:t>
      </w:r>
      <w:r w:rsidR="009727C3">
        <w:rPr>
          <w:b/>
          <w:u w:val="single"/>
        </w:rPr>
        <w:t>8</w:t>
      </w:r>
      <w:r w:rsidRPr="00614435">
        <w:rPr>
          <w:b/>
          <w:u w:val="single"/>
        </w:rPr>
        <w:t>. 2. 2024</w:t>
      </w:r>
      <w:r>
        <w:rPr>
          <w:b/>
          <w:u w:val="single"/>
        </w:rPr>
        <w:t xml:space="preserve"> </w:t>
      </w:r>
      <w:r w:rsidR="003A0A05">
        <w:rPr>
          <w:b/>
          <w:u w:val="single"/>
        </w:rPr>
        <w:t>:</w:t>
      </w:r>
    </w:p>
    <w:p w14:paraId="066CC3F6" w14:textId="1F692FA5" w:rsidR="005016A1" w:rsidRPr="005016A1" w:rsidRDefault="005016A1" w:rsidP="005016A1">
      <w:pPr>
        <w:pStyle w:val="Odstavecseseznamem"/>
        <w:numPr>
          <w:ilvl w:val="0"/>
          <w:numId w:val="3"/>
        </w:numPr>
        <w:jc w:val="both"/>
        <w:rPr>
          <w:rFonts w:ascii="Arial" w:hAnsi="Arial" w:cs="Arial"/>
          <w:i/>
          <w:iCs/>
          <w:sz w:val="20"/>
          <w:szCs w:val="20"/>
          <w:shd w:val="clear" w:color="auto" w:fill="FFFFFF"/>
        </w:rPr>
      </w:pPr>
      <w:r w:rsidRPr="005016A1">
        <w:t>U všech objektů chybí položka pro uložení vytěžené zeminy na deponii kat. č. 17120. Žádáme o doplnění této položky</w:t>
      </w:r>
      <w:r w:rsidRPr="005016A1">
        <w:rPr>
          <w:rFonts w:ascii="Arial" w:hAnsi="Arial" w:cs="Arial"/>
          <w:i/>
          <w:iCs/>
          <w:color w:val="000000"/>
          <w:sz w:val="20"/>
          <w:szCs w:val="20"/>
          <w:shd w:val="clear" w:color="auto" w:fill="FFFFFF"/>
        </w:rPr>
        <w:t>.</w:t>
      </w:r>
    </w:p>
    <w:p w14:paraId="3BC9E296" w14:textId="77777777" w:rsidR="005016A1" w:rsidRDefault="005016A1" w:rsidP="005016A1">
      <w:pPr>
        <w:pStyle w:val="Odstavecseseznamem"/>
        <w:rPr>
          <w:i/>
          <w:iCs/>
          <w:color w:val="FF0000"/>
          <w:sz w:val="24"/>
          <w:szCs w:val="24"/>
        </w:rPr>
      </w:pPr>
    </w:p>
    <w:p w14:paraId="15A66D04" w14:textId="59FD58F5" w:rsidR="005016A1" w:rsidRDefault="005016A1" w:rsidP="005016A1">
      <w:pPr>
        <w:pStyle w:val="Odstavecseseznamem"/>
        <w:jc w:val="both"/>
        <w:rPr>
          <w:i/>
          <w:color w:val="FF0000"/>
        </w:rPr>
      </w:pPr>
      <w:r w:rsidRPr="005016A1">
        <w:rPr>
          <w:i/>
          <w:color w:val="FF0000"/>
        </w:rPr>
        <w:t>Uložení zeminy na deponii je součástí položek, kterých se to týká, viz jejich podrobný popis. Položky nebudou doplňovány.</w:t>
      </w:r>
    </w:p>
    <w:p w14:paraId="674A9B20" w14:textId="77777777" w:rsidR="005016A1" w:rsidRPr="005016A1" w:rsidRDefault="005016A1" w:rsidP="005016A1">
      <w:pPr>
        <w:pStyle w:val="Odstavecseseznamem"/>
        <w:jc w:val="both"/>
        <w:rPr>
          <w:i/>
          <w:color w:val="FF0000"/>
        </w:rPr>
      </w:pPr>
    </w:p>
    <w:p w14:paraId="2CB0FDB7" w14:textId="16230A26" w:rsidR="005016A1" w:rsidRPr="005016A1" w:rsidRDefault="005016A1" w:rsidP="005016A1">
      <w:pPr>
        <w:pStyle w:val="Odstavecseseznamem"/>
        <w:numPr>
          <w:ilvl w:val="0"/>
          <w:numId w:val="3"/>
        </w:numPr>
        <w:jc w:val="both"/>
      </w:pPr>
      <w:r w:rsidRPr="005016A1">
        <w:t>V zadávacích podmínkách jsou uvedeny TKP Kapitola 7 Hutněné asfaltové vrstvy s datumem účinnosti 1.4. 2023. Zde je v kapitole 7.3.4. Příprava podkladu zmíněno, že je zakázáno používat infiltrační postřiky na hydraulicky zpevněné vrstvy. V projektu je tento postup navržen s odvolávkou na TKP 115. Ovšem TP kapitola 7 by mělo být nadřazeno zmíněnému TKP 115. Jsou tedy položky týkající se těchto postřiků v souladu s platnou legislativou a se zadáním stavby?</w:t>
      </w:r>
    </w:p>
    <w:p w14:paraId="72255257" w14:textId="77777777" w:rsidR="005016A1" w:rsidRDefault="005016A1" w:rsidP="005016A1">
      <w:pPr>
        <w:pStyle w:val="Odstavecseseznamem"/>
        <w:rPr>
          <w:i/>
          <w:iCs/>
          <w:color w:val="FF0000"/>
          <w:sz w:val="24"/>
          <w:szCs w:val="24"/>
        </w:rPr>
      </w:pPr>
    </w:p>
    <w:p w14:paraId="60FD4E41" w14:textId="0870B2DE" w:rsidR="008C5707" w:rsidRDefault="008C5707" w:rsidP="00CB6CCA">
      <w:pPr>
        <w:pStyle w:val="Odstavecseseznamem"/>
        <w:jc w:val="both"/>
        <w:rPr>
          <w:i/>
          <w:color w:val="FF0000"/>
        </w:rPr>
      </w:pPr>
      <w:r>
        <w:rPr>
          <w:i/>
          <w:color w:val="FF0000"/>
        </w:rPr>
        <w:t>Pro t</w:t>
      </w:r>
      <w:r w:rsidR="003A0A05">
        <w:rPr>
          <w:i/>
          <w:color w:val="FF0000"/>
        </w:rPr>
        <w:t>ento konkrétní rozpor spočívající v TKP 115</w:t>
      </w:r>
      <w:r w:rsidR="00CB6CCA">
        <w:rPr>
          <w:i/>
          <w:color w:val="FF0000"/>
        </w:rPr>
        <w:t xml:space="preserve"> je nutno</w:t>
      </w:r>
      <w:r w:rsidR="003A0A05">
        <w:rPr>
          <w:i/>
          <w:color w:val="FF0000"/>
        </w:rPr>
        <w:t xml:space="preserve"> postupovat dle PD, na kterou bylo vydáno Stavební povolení, </w:t>
      </w:r>
      <w:r w:rsidR="00CB6CCA">
        <w:rPr>
          <w:i/>
          <w:color w:val="FF0000"/>
        </w:rPr>
        <w:t>Kapitola</w:t>
      </w:r>
      <w:r w:rsidR="003A0A05">
        <w:rPr>
          <w:i/>
          <w:color w:val="FF0000"/>
        </w:rPr>
        <w:t xml:space="preserve"> 7.3.4</w:t>
      </w:r>
      <w:r>
        <w:rPr>
          <w:i/>
          <w:color w:val="FF0000"/>
        </w:rPr>
        <w:t xml:space="preserve"> se v tomto případě </w:t>
      </w:r>
      <w:r w:rsidR="00CB6CCA">
        <w:rPr>
          <w:i/>
          <w:color w:val="FF0000"/>
        </w:rPr>
        <w:t>nevyužije</w:t>
      </w:r>
      <w:r>
        <w:rPr>
          <w:i/>
          <w:color w:val="FF0000"/>
        </w:rPr>
        <w:t>.</w:t>
      </w:r>
    </w:p>
    <w:p w14:paraId="56A47F34" w14:textId="77777777" w:rsidR="005016A1" w:rsidRPr="005016A1" w:rsidRDefault="005016A1" w:rsidP="005016A1">
      <w:pPr>
        <w:pStyle w:val="Odstavecseseznamem"/>
        <w:rPr>
          <w:i/>
          <w:color w:val="FF0000"/>
        </w:rPr>
      </w:pPr>
    </w:p>
    <w:p w14:paraId="767BE66B" w14:textId="73D392EA" w:rsidR="005016A1" w:rsidRPr="005016A1" w:rsidRDefault="005016A1" w:rsidP="005016A1">
      <w:pPr>
        <w:pStyle w:val="Odstavecseseznamem"/>
        <w:numPr>
          <w:ilvl w:val="0"/>
          <w:numId w:val="3"/>
        </w:numPr>
        <w:jc w:val="both"/>
      </w:pPr>
      <w:r w:rsidRPr="005016A1">
        <w:t>V objektech 101.1 a 105.1 je uvedena pol. č. 9113A1 SVODIDLO OCEL SILNIČ JEDNOSTR, ÚROVEŇ ZADRŽ N1, N2 - DODÁVKA A MONTÁŽ, avšak v popisu je uvedeno svodidlo JSXXX/H1, což je jiná třída zadržení. Žádáme o vysvětlení nesrovnalosti.</w:t>
      </w:r>
    </w:p>
    <w:p w14:paraId="0712B932" w14:textId="77777777" w:rsidR="00616368" w:rsidRDefault="00616368" w:rsidP="00616368">
      <w:pPr>
        <w:pStyle w:val="Odstavecseseznamem"/>
        <w:rPr>
          <w:i/>
          <w:iCs/>
          <w:color w:val="FF0000"/>
          <w:sz w:val="24"/>
          <w:szCs w:val="24"/>
        </w:rPr>
      </w:pPr>
    </w:p>
    <w:p w14:paraId="0A437B34" w14:textId="6FD39349" w:rsidR="005016A1" w:rsidRPr="00616368" w:rsidRDefault="00616368" w:rsidP="00616368">
      <w:pPr>
        <w:pStyle w:val="Odstavecseseznamem"/>
        <w:rPr>
          <w:i/>
          <w:color w:val="FF0000"/>
        </w:rPr>
      </w:pPr>
      <w:r w:rsidRPr="00616368">
        <w:rPr>
          <w:i/>
          <w:color w:val="FF0000"/>
        </w:rPr>
        <w:t xml:space="preserve">V Soupisu </w:t>
      </w:r>
      <w:r w:rsidR="00EC58F7">
        <w:rPr>
          <w:i/>
          <w:color w:val="FF0000"/>
        </w:rPr>
        <w:t xml:space="preserve">prací </w:t>
      </w:r>
      <w:r w:rsidRPr="00616368">
        <w:rPr>
          <w:i/>
          <w:color w:val="FF0000"/>
        </w:rPr>
        <w:t xml:space="preserve"> F.1-SOUPIS PRACI-revize 9.2.2024_FIDIC</w:t>
      </w:r>
      <w:r w:rsidR="008C5707">
        <w:rPr>
          <w:i/>
          <w:color w:val="FF0000"/>
        </w:rPr>
        <w:t xml:space="preserve"> </w:t>
      </w:r>
      <w:r w:rsidRPr="00616368">
        <w:rPr>
          <w:i/>
          <w:color w:val="FF0000"/>
        </w:rPr>
        <w:t xml:space="preserve"> bylo</w:t>
      </w:r>
      <w:r w:rsidR="005016A1" w:rsidRPr="00616368">
        <w:rPr>
          <w:i/>
          <w:color w:val="FF0000"/>
        </w:rPr>
        <w:t xml:space="preserve"> upraveno</w:t>
      </w:r>
      <w:r w:rsidRPr="00616368">
        <w:rPr>
          <w:i/>
          <w:color w:val="FF0000"/>
        </w:rPr>
        <w:t xml:space="preserve"> a</w:t>
      </w:r>
      <w:r w:rsidR="005016A1" w:rsidRPr="00616368">
        <w:rPr>
          <w:i/>
          <w:color w:val="FF0000"/>
        </w:rPr>
        <w:t xml:space="preserve"> sjednoceno.</w:t>
      </w:r>
    </w:p>
    <w:p w14:paraId="47F31069" w14:textId="77777777" w:rsidR="00616368" w:rsidRPr="005016A1" w:rsidRDefault="00616368" w:rsidP="00616368">
      <w:pPr>
        <w:pStyle w:val="Odstavecseseznamem"/>
        <w:rPr>
          <w:rFonts w:ascii="Calibri" w:hAnsi="Calibri" w:cs="Calibri"/>
          <w:i/>
          <w:iCs/>
          <w:color w:val="FF0000"/>
          <w:sz w:val="24"/>
          <w:szCs w:val="24"/>
        </w:rPr>
      </w:pPr>
    </w:p>
    <w:p w14:paraId="59DA35C2" w14:textId="436DBE1D" w:rsidR="005016A1" w:rsidRDefault="005016A1" w:rsidP="00616368">
      <w:pPr>
        <w:pStyle w:val="Odstavecseseznamem"/>
        <w:numPr>
          <w:ilvl w:val="0"/>
          <w:numId w:val="3"/>
        </w:numPr>
        <w:jc w:val="both"/>
      </w:pPr>
      <w:r w:rsidRPr="00616368">
        <w:t>V objektech SO 101.1, 104.1, 105.1, 106.1, 107.1, 104.2, 117.1, 121, 124.1, 125.1, 117.2 a 125.2 je uvedena položka č. 17511 OBSYP POTRUBÍ A OBJEKTŮ SE ZHUTNĚNÍM, která v popisu uvádí, že slouží pro obsyp kanalizačních přípojek. Ve výkazu výměr však chybí nákup materiálu pro tento obsyp (zásyp).</w:t>
      </w:r>
    </w:p>
    <w:p w14:paraId="64233B72" w14:textId="77777777" w:rsidR="00616368" w:rsidRPr="00616368" w:rsidRDefault="00616368" w:rsidP="00616368">
      <w:pPr>
        <w:pStyle w:val="Odstavecseseznamem"/>
        <w:jc w:val="both"/>
      </w:pPr>
    </w:p>
    <w:p w14:paraId="4C6E71C6" w14:textId="77777777" w:rsidR="00E62A38" w:rsidRDefault="005016A1" w:rsidP="00616368">
      <w:pPr>
        <w:pStyle w:val="Odstavecseseznamem"/>
        <w:jc w:val="both"/>
        <w:rPr>
          <w:i/>
          <w:color w:val="FF0000"/>
        </w:rPr>
      </w:pPr>
      <w:r w:rsidRPr="00616368">
        <w:rPr>
          <w:i/>
          <w:color w:val="FF0000"/>
        </w:rPr>
        <w:t>Položka je uvažována včetně nákupu materiálu.</w:t>
      </w:r>
    </w:p>
    <w:p w14:paraId="2613AF01" w14:textId="77777777" w:rsidR="00E62A38" w:rsidRDefault="00E62A38" w:rsidP="00616368">
      <w:pPr>
        <w:pStyle w:val="Odstavecseseznamem"/>
        <w:jc w:val="both"/>
        <w:rPr>
          <w:i/>
          <w:color w:val="FF0000"/>
        </w:rPr>
      </w:pPr>
    </w:p>
    <w:p w14:paraId="6390E56E" w14:textId="13768CCD" w:rsidR="005016A1" w:rsidRDefault="005016A1" w:rsidP="00E62A38">
      <w:pPr>
        <w:pStyle w:val="Odstavecseseznamem"/>
        <w:numPr>
          <w:ilvl w:val="0"/>
          <w:numId w:val="3"/>
        </w:numPr>
        <w:jc w:val="both"/>
      </w:pPr>
      <w:r w:rsidRPr="00E62A38">
        <w:t>V objektu SO 106.1 jsou uvedeny pol. č. 11120, 11211, 11212, 11221, 11222, týkající se odstranění dřevin. Podruhé jsou stejné položky se stejnými výměrami uvedeny v objk. 106.3 a 106.4. Dle našeho názoru jsou tyto práce ve výkazu výměr uvedeny dvakrát. Žádáme o úpravu výkazu výměr.</w:t>
      </w:r>
    </w:p>
    <w:p w14:paraId="46046180" w14:textId="77777777" w:rsidR="00E62A38" w:rsidRPr="00E62A38" w:rsidRDefault="00E62A38" w:rsidP="00E62A38">
      <w:pPr>
        <w:pStyle w:val="Odstavecseseznamem"/>
        <w:jc w:val="both"/>
      </w:pPr>
    </w:p>
    <w:p w14:paraId="49677E62" w14:textId="312769B3" w:rsidR="00E62A38" w:rsidRDefault="005016A1" w:rsidP="00E62A38">
      <w:pPr>
        <w:pStyle w:val="Odstavecseseznamem"/>
        <w:rPr>
          <w:rFonts w:ascii="Calibri" w:hAnsi="Calibri" w:cs="Calibri"/>
          <w:i/>
          <w:iCs/>
          <w:color w:val="FF0000"/>
          <w:sz w:val="24"/>
          <w:szCs w:val="24"/>
        </w:rPr>
      </w:pPr>
      <w:r w:rsidRPr="00E62A38">
        <w:rPr>
          <w:i/>
          <w:color w:val="FF0000"/>
        </w:rPr>
        <w:t xml:space="preserve">Bylo </w:t>
      </w:r>
      <w:r w:rsidR="00A43F9F">
        <w:rPr>
          <w:i/>
          <w:color w:val="FF0000"/>
        </w:rPr>
        <w:t>upraveno</w:t>
      </w:r>
      <w:r w:rsidR="008C5707">
        <w:rPr>
          <w:i/>
          <w:color w:val="FF0000"/>
        </w:rPr>
        <w:t xml:space="preserve"> v Soupise prací </w:t>
      </w:r>
      <w:r w:rsidR="00E62A38" w:rsidRPr="00E62A38">
        <w:rPr>
          <w:i/>
          <w:color w:val="FF0000"/>
        </w:rPr>
        <w:t xml:space="preserve"> (viz </w:t>
      </w:r>
      <w:r w:rsidR="00E62A38" w:rsidRPr="00616368">
        <w:rPr>
          <w:i/>
          <w:color w:val="FF0000"/>
        </w:rPr>
        <w:t>F.1-SOUPIS PRACI-revize 9.2.2024_FIDIC</w:t>
      </w:r>
      <w:r w:rsidR="00E62A38" w:rsidRPr="00E62A38">
        <w:rPr>
          <w:i/>
          <w:color w:val="FF0000"/>
        </w:rPr>
        <w:t>)</w:t>
      </w:r>
      <w:r w:rsidR="00E62A38">
        <w:rPr>
          <w:i/>
          <w:iCs/>
          <w:color w:val="FF0000"/>
          <w:sz w:val="24"/>
          <w:szCs w:val="24"/>
        </w:rPr>
        <w:t xml:space="preserve"> .</w:t>
      </w:r>
      <w:r w:rsidR="00E62A38" w:rsidRPr="005016A1">
        <w:rPr>
          <w:rFonts w:ascii="Calibri" w:hAnsi="Calibri" w:cs="Calibri"/>
          <w:i/>
          <w:iCs/>
          <w:color w:val="FF0000"/>
          <w:sz w:val="24"/>
          <w:szCs w:val="24"/>
        </w:rPr>
        <w:t xml:space="preserve"> </w:t>
      </w:r>
    </w:p>
    <w:p w14:paraId="18CE6C8C" w14:textId="77777777" w:rsidR="00E62A38" w:rsidRPr="005016A1" w:rsidRDefault="00E62A38" w:rsidP="00E62A38">
      <w:pPr>
        <w:pStyle w:val="Odstavecseseznamem"/>
        <w:rPr>
          <w:rFonts w:ascii="Calibri" w:hAnsi="Calibri" w:cs="Calibri"/>
          <w:i/>
          <w:iCs/>
          <w:color w:val="FF0000"/>
          <w:sz w:val="24"/>
          <w:szCs w:val="24"/>
        </w:rPr>
      </w:pPr>
    </w:p>
    <w:p w14:paraId="22F629F6" w14:textId="77777777" w:rsidR="00E62A38" w:rsidRPr="00383739" w:rsidRDefault="005016A1" w:rsidP="00E62A38">
      <w:pPr>
        <w:pStyle w:val="Odstavecseseznamem"/>
        <w:numPr>
          <w:ilvl w:val="0"/>
          <w:numId w:val="3"/>
        </w:numPr>
        <w:jc w:val="both"/>
      </w:pPr>
      <w:r w:rsidRPr="00383739">
        <w:t>Ve smlouvě o dílo je dle čl. 1.1.3.7 (c) stanovena záruční doba pro vodorovné dopravní značení na 60 měsíců. Dle projektové dokumentace má být finální vodorovné dopravní značení provedeno ze strukturovaného stříkaného plastu.</w:t>
      </w:r>
    </w:p>
    <w:p w14:paraId="7034E9B4" w14:textId="77777777" w:rsidR="00E62A38" w:rsidRPr="00383739" w:rsidRDefault="005016A1" w:rsidP="00E62A38">
      <w:pPr>
        <w:pStyle w:val="Odstavecseseznamem"/>
        <w:jc w:val="both"/>
      </w:pPr>
      <w:r w:rsidRPr="00383739">
        <w:t>U zakázek SÚS Pardubického kraje nebo i u všech zakázek ŘSD se běžně předepisuje záruční doba na vodorovné značení v délce 36 měsíců. Zde se vychází z TKP 14, čl. 14.C8, kde je uvedeno, že obvyklá délka záruční doby u vodorovného dopravního značení ze stříkaného plastu je 2 až 3 roky. Tři roky je i běžná záruka, poskytovaná firmami, které se specializují na dodávky vodorovného dopravního značení.</w:t>
      </w:r>
    </w:p>
    <w:p w14:paraId="54D263C4" w14:textId="64AE2750" w:rsidR="005016A1" w:rsidRDefault="005016A1" w:rsidP="00E62A38">
      <w:pPr>
        <w:pStyle w:val="Odstavecseseznamem"/>
        <w:jc w:val="both"/>
        <w:rPr>
          <w:rFonts w:ascii="Arial" w:hAnsi="Arial" w:cs="Arial"/>
          <w:i/>
          <w:iCs/>
          <w:color w:val="000000"/>
          <w:sz w:val="20"/>
          <w:szCs w:val="20"/>
          <w:shd w:val="clear" w:color="auto" w:fill="FFFFFF"/>
        </w:rPr>
      </w:pPr>
      <w:r w:rsidRPr="00383739">
        <w:t>Vzhledem k tomu, že objednatel požaduje dílo realizovat ve dvou etapách a v průběhu dvou let bude začátek záruční doby na dílo zhotoviteli běžet až od chvíle, kdy kompletně předá a dokončí celé dílo. Fakticky objednatel požaduje od budoucího zhotovitele, aby držel záruku na vodorovné dopravním značení realizované v rámci první etapy (první etapa bude uvedena do předčasného užívání asi rok před dokončením celého díla) po dobu necelých šesti let!!</w:t>
      </w:r>
      <w:r w:rsidRPr="00383739">
        <w:br/>
        <w:t>Žádáme proto zadavatele, aby z výše uvedených důvodů přehodnotil požadovanou záruční dobu pro dodávku vodorovného dopravního značení a její záruční dobu zkrátil na standardně užívaných 36 měsíců.</w:t>
      </w:r>
    </w:p>
    <w:p w14:paraId="08271C35" w14:textId="77777777" w:rsidR="00E62A38" w:rsidRPr="005016A1" w:rsidRDefault="00E62A38" w:rsidP="00E62A38">
      <w:pPr>
        <w:pStyle w:val="Odstavecseseznamem"/>
        <w:jc w:val="both"/>
        <w:rPr>
          <w:rFonts w:ascii="Arial" w:hAnsi="Arial" w:cs="Arial"/>
          <w:i/>
          <w:iCs/>
          <w:sz w:val="20"/>
          <w:szCs w:val="20"/>
          <w:shd w:val="clear" w:color="auto" w:fill="FFFFFF"/>
        </w:rPr>
      </w:pPr>
    </w:p>
    <w:p w14:paraId="264A428D" w14:textId="24F47D6B" w:rsidR="005016A1" w:rsidRPr="00E62A38" w:rsidRDefault="00E62A38" w:rsidP="00E62A38">
      <w:pPr>
        <w:pStyle w:val="Odstavecseseznamem"/>
        <w:rPr>
          <w:i/>
          <w:color w:val="FF0000"/>
        </w:rPr>
      </w:pPr>
      <w:r w:rsidRPr="00E62A38">
        <w:rPr>
          <w:i/>
          <w:color w:val="FF0000"/>
        </w:rPr>
        <w:t xml:space="preserve">Zadavatel ponechá </w:t>
      </w:r>
      <w:r w:rsidR="008C5707">
        <w:rPr>
          <w:i/>
          <w:color w:val="FF0000"/>
        </w:rPr>
        <w:t>záruční dobu beze změny</w:t>
      </w:r>
      <w:r w:rsidRPr="00E62A38">
        <w:rPr>
          <w:i/>
          <w:color w:val="FF0000"/>
        </w:rPr>
        <w:t>.</w:t>
      </w:r>
    </w:p>
    <w:p w14:paraId="29C0C5DF" w14:textId="77777777" w:rsidR="00E62A38" w:rsidRPr="00E62A38" w:rsidRDefault="00E62A38" w:rsidP="00E62A38">
      <w:pPr>
        <w:pStyle w:val="Odstavecseseznamem"/>
        <w:rPr>
          <w:i/>
          <w:color w:val="FF0000"/>
        </w:rPr>
      </w:pPr>
    </w:p>
    <w:p w14:paraId="6DE4569D" w14:textId="01E7DF88" w:rsidR="00383739" w:rsidRPr="00614435" w:rsidRDefault="00383739" w:rsidP="00383739">
      <w:pPr>
        <w:rPr>
          <w:b/>
          <w:u w:val="single"/>
        </w:rPr>
      </w:pPr>
      <w:r w:rsidRPr="00614435">
        <w:rPr>
          <w:b/>
          <w:u w:val="single"/>
        </w:rPr>
        <w:t xml:space="preserve">Odpověď k dotazu č. </w:t>
      </w:r>
      <w:r>
        <w:rPr>
          <w:b/>
          <w:u w:val="single"/>
        </w:rPr>
        <w:t>8</w:t>
      </w:r>
      <w:r w:rsidRPr="00614435">
        <w:rPr>
          <w:b/>
          <w:u w:val="single"/>
        </w:rPr>
        <w:t xml:space="preserve"> ze dne </w:t>
      </w:r>
      <w:r>
        <w:rPr>
          <w:b/>
          <w:u w:val="single"/>
        </w:rPr>
        <w:t>8</w:t>
      </w:r>
      <w:r w:rsidRPr="00614435">
        <w:rPr>
          <w:b/>
          <w:u w:val="single"/>
        </w:rPr>
        <w:t>. 2. 2024:</w:t>
      </w:r>
    </w:p>
    <w:p w14:paraId="1C6ADA26" w14:textId="77777777" w:rsidR="00E62A38" w:rsidRPr="00383739" w:rsidRDefault="00E62A38" w:rsidP="00E62A38">
      <w:pPr>
        <w:pStyle w:val="Odstavecseseznamem"/>
        <w:rPr>
          <w:rFonts w:ascii="Arial" w:hAnsi="Arial" w:cs="Arial"/>
          <w:i/>
          <w:iCs/>
          <w:color w:val="000000"/>
          <w:sz w:val="20"/>
          <w:szCs w:val="20"/>
          <w:u w:val="single"/>
          <w:shd w:val="clear" w:color="auto" w:fill="FFFFFF"/>
        </w:rPr>
      </w:pPr>
      <w:r w:rsidRPr="00383739">
        <w:rPr>
          <w:rFonts w:ascii="Arial" w:hAnsi="Arial" w:cs="Arial"/>
          <w:i/>
          <w:iCs/>
          <w:color w:val="000000"/>
          <w:sz w:val="20"/>
          <w:szCs w:val="20"/>
          <w:u w:val="single"/>
          <w:shd w:val="clear" w:color="auto" w:fill="FFFFFF"/>
        </w:rPr>
        <w:t>Dotaz č.1:</w:t>
      </w:r>
    </w:p>
    <w:p w14:paraId="4A3F9F39"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SO 101.1</w:t>
      </w:r>
    </w:p>
    <w:p w14:paraId="05CC2920"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014102 03 POPLATKY ZA SKLÁDKU T 7 345,33</w:t>
      </w:r>
    </w:p>
    <w:p w14:paraId="045254D2"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Doplňující popis odkazuje na položku č.11. Domníváme se, že jde o chybu.</w:t>
      </w:r>
    </w:p>
    <w:p w14:paraId="658CA57F"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(položka č.11 je „FRÉZOVÁNÍ“)</w:t>
      </w:r>
    </w:p>
    <w:p w14:paraId="5FB5F597"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SKLÁDKA - Uložení zeminy na skládku</w:t>
      </w:r>
    </w:p>
    <w:p w14:paraId="629B96BE"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=6133,738t+1026,056t+142,064t+43,476t</w:t>
      </w:r>
    </w:p>
    <w:p w14:paraId="05F2DEA7"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 xml:space="preserve">Viz položka č. </w:t>
      </w:r>
      <w:r w:rsidRPr="00383739">
        <w:rPr>
          <w:rFonts w:ascii="Arial" w:hAnsi="Arial" w:cs="Arial"/>
          <w:i/>
          <w:iCs/>
          <w:color w:val="000000"/>
          <w:sz w:val="20"/>
          <w:szCs w:val="20"/>
          <w:highlight w:val="yellow"/>
          <w:shd w:val="clear" w:color="auto" w:fill="FFFFFF"/>
        </w:rPr>
        <w:t>11</w:t>
      </w:r>
      <w:r w:rsidRPr="00383739">
        <w:rPr>
          <w:rFonts w:ascii="Arial" w:hAnsi="Arial" w:cs="Arial"/>
          <w:i/>
          <w:iCs/>
          <w:color w:val="000000"/>
          <w:sz w:val="20"/>
          <w:szCs w:val="20"/>
          <w:shd w:val="clear" w:color="auto" w:fill="FFFFFF"/>
        </w:rPr>
        <w:t>, 18, 19, 20 skupina měření: R0001</w:t>
      </w:r>
    </w:p>
    <w:p w14:paraId="5F9A111B" w14:textId="77777777" w:rsidR="00383739" w:rsidRPr="00383739" w:rsidRDefault="00383739" w:rsidP="00E62A38">
      <w:pPr>
        <w:pStyle w:val="Odstavecseseznamem"/>
        <w:rPr>
          <w:rFonts w:ascii="Arial" w:hAnsi="Arial" w:cs="Arial"/>
          <w:i/>
          <w:iCs/>
          <w:color w:val="000000"/>
          <w:sz w:val="20"/>
          <w:szCs w:val="20"/>
          <w:shd w:val="clear" w:color="auto" w:fill="FFFFFF"/>
        </w:rPr>
      </w:pPr>
    </w:p>
    <w:p w14:paraId="51546829" w14:textId="1B351CAE" w:rsidR="00E62A38" w:rsidRPr="00383739" w:rsidRDefault="00E62A38" w:rsidP="00E62A38">
      <w:pPr>
        <w:pStyle w:val="Odstavecseseznamem"/>
        <w:rPr>
          <w:rFonts w:ascii="Arial" w:hAnsi="Arial" w:cs="Arial"/>
          <w:i/>
          <w:iCs/>
          <w:color w:val="000000"/>
          <w:sz w:val="20"/>
          <w:szCs w:val="20"/>
          <w:u w:val="single"/>
          <w:shd w:val="clear" w:color="auto" w:fill="FFFFFF"/>
        </w:rPr>
      </w:pPr>
      <w:r w:rsidRPr="00383739">
        <w:rPr>
          <w:rFonts w:ascii="Arial" w:hAnsi="Arial" w:cs="Arial"/>
          <w:i/>
          <w:iCs/>
          <w:color w:val="000000"/>
          <w:sz w:val="20"/>
          <w:szCs w:val="20"/>
          <w:u w:val="single"/>
          <w:shd w:val="clear" w:color="auto" w:fill="FFFFFF"/>
        </w:rPr>
        <w:t>Dotaz č.2:</w:t>
      </w:r>
    </w:p>
    <w:p w14:paraId="2E2CCF47"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SO 101.1</w:t>
      </w:r>
    </w:p>
    <w:p w14:paraId="08189D3B"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113524 ODSTRANĚNÍ CHODNÍKOVÝCH A SILNIČNÍCH OBRUBNÍKŮ</w:t>
      </w:r>
    </w:p>
    <w:p w14:paraId="33548A05"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BETONOVÝCH, ODVOZ DO 5KM</w:t>
      </w:r>
    </w:p>
    <w:p w14:paraId="4D3FB463"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m 1 074,15</w:t>
      </w:r>
    </w:p>
    <w:p w14:paraId="1FF81A40"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lastRenderedPageBreak/>
        <w:t>Domníváme se, že v popisu položky je chybný výpočet tonáže</w:t>
      </w:r>
    </w:p>
    <w:p w14:paraId="0C13CC64"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BOURACÍ PRÁCE - Odstranění betonových silničních obrubníků, včetně odvozu a uložení na skládku do</w:t>
      </w:r>
    </w:p>
    <w:p w14:paraId="6E94C236"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20km</w:t>
      </w:r>
    </w:p>
    <w:p w14:paraId="5BEB800F"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=1074,152m</w:t>
      </w:r>
    </w:p>
    <w:p w14:paraId="749CB5C2"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=1074,152*0,038m2*2,300t/m3=</w:t>
      </w:r>
      <w:r w:rsidRPr="00383739">
        <w:rPr>
          <w:rFonts w:ascii="Arial" w:hAnsi="Arial" w:cs="Arial"/>
          <w:i/>
          <w:iCs/>
          <w:color w:val="000000"/>
          <w:sz w:val="20"/>
          <w:szCs w:val="20"/>
          <w:highlight w:val="yellow"/>
          <w:shd w:val="clear" w:color="auto" w:fill="FFFFFF"/>
        </w:rPr>
        <w:t>92,646t</w:t>
      </w:r>
    </w:p>
    <w:p w14:paraId="3AF5CC69"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Viz D.1.1.2.1-Situace pozemní komunikace skupina měření: 1117</w:t>
      </w:r>
    </w:p>
    <w:p w14:paraId="72DBF8AB" w14:textId="77777777" w:rsidR="00383739" w:rsidRPr="00383739" w:rsidRDefault="00383739" w:rsidP="00E62A38">
      <w:pPr>
        <w:pStyle w:val="Odstavecseseznamem"/>
        <w:rPr>
          <w:rFonts w:ascii="Arial" w:hAnsi="Arial" w:cs="Arial"/>
          <w:i/>
          <w:iCs/>
          <w:color w:val="000000"/>
          <w:sz w:val="20"/>
          <w:szCs w:val="20"/>
          <w:shd w:val="clear" w:color="auto" w:fill="FFFFFF"/>
        </w:rPr>
      </w:pPr>
    </w:p>
    <w:p w14:paraId="02AFB895" w14:textId="348F271B" w:rsidR="00E62A38" w:rsidRPr="00383739" w:rsidRDefault="00E62A38" w:rsidP="00E62A38">
      <w:pPr>
        <w:pStyle w:val="Odstavecseseznamem"/>
        <w:rPr>
          <w:rFonts w:ascii="Arial" w:hAnsi="Arial" w:cs="Arial"/>
          <w:i/>
          <w:iCs/>
          <w:color w:val="000000"/>
          <w:sz w:val="20"/>
          <w:szCs w:val="20"/>
          <w:u w:val="single"/>
          <w:shd w:val="clear" w:color="auto" w:fill="FFFFFF"/>
        </w:rPr>
      </w:pPr>
      <w:r w:rsidRPr="00383739">
        <w:rPr>
          <w:rFonts w:ascii="Arial" w:hAnsi="Arial" w:cs="Arial"/>
          <w:i/>
          <w:iCs/>
          <w:color w:val="000000"/>
          <w:sz w:val="20"/>
          <w:szCs w:val="20"/>
          <w:u w:val="single"/>
          <w:shd w:val="clear" w:color="auto" w:fill="FFFFFF"/>
        </w:rPr>
        <w:t>Dotaz č.3:</w:t>
      </w:r>
    </w:p>
    <w:p w14:paraId="2A48D6D7"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SO 101.1</w:t>
      </w:r>
    </w:p>
    <w:p w14:paraId="4766BE1D"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014102 02 POPLATKY ZA SKLÁDKU T 596,63</w:t>
      </w:r>
    </w:p>
    <w:p w14:paraId="4B983E5E" w14:textId="78720936" w:rsidR="00E62A38"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Souvisí s dotazem č.2 – chybná výměra</w:t>
      </w:r>
    </w:p>
    <w:p w14:paraId="49D84F08" w14:textId="77777777" w:rsidR="00383739" w:rsidRPr="00383739" w:rsidRDefault="00383739" w:rsidP="00E62A38">
      <w:pPr>
        <w:pStyle w:val="Odstavecseseznamem"/>
        <w:rPr>
          <w:rFonts w:ascii="Arial" w:hAnsi="Arial" w:cs="Arial"/>
          <w:i/>
          <w:iCs/>
          <w:color w:val="000000"/>
          <w:sz w:val="20"/>
          <w:szCs w:val="20"/>
          <w:shd w:val="clear" w:color="auto" w:fill="FFFFFF"/>
        </w:rPr>
      </w:pPr>
    </w:p>
    <w:p w14:paraId="2A9D8234" w14:textId="386DE049"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SKLÁDKA - Uložení stavební su</w:t>
      </w:r>
      <w:r w:rsidR="00383739">
        <w:rPr>
          <w:rFonts w:ascii="Arial" w:hAnsi="Arial" w:cs="Arial"/>
          <w:i/>
          <w:iCs/>
          <w:color w:val="000000"/>
          <w:sz w:val="20"/>
          <w:szCs w:val="20"/>
          <w:shd w:val="clear" w:color="auto" w:fill="FFFFFF"/>
        </w:rPr>
        <w:t>ti</w:t>
      </w:r>
      <w:r w:rsidRPr="00383739">
        <w:rPr>
          <w:rFonts w:ascii="Arial" w:hAnsi="Arial" w:cs="Arial"/>
          <w:i/>
          <w:iCs/>
          <w:color w:val="000000"/>
          <w:sz w:val="20"/>
          <w:szCs w:val="20"/>
          <w:shd w:val="clear" w:color="auto" w:fill="FFFFFF"/>
        </w:rPr>
        <w:t xml:space="preserve"> na skládku</w:t>
      </w:r>
    </w:p>
    <w:p w14:paraId="7798C780" w14:textId="77777777" w:rsidR="00E62A38"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=8,385t+0,044t+11,973t+14,617t+26,542t+24,622t+</w:t>
      </w:r>
      <w:r w:rsidRPr="00383739">
        <w:rPr>
          <w:rFonts w:ascii="Arial" w:hAnsi="Arial" w:cs="Arial"/>
          <w:i/>
          <w:iCs/>
          <w:color w:val="000000"/>
          <w:sz w:val="20"/>
          <w:szCs w:val="20"/>
          <w:highlight w:val="yellow"/>
          <w:shd w:val="clear" w:color="auto" w:fill="FFFFFF"/>
        </w:rPr>
        <w:t>92,646t</w:t>
      </w:r>
      <w:r w:rsidRPr="00383739">
        <w:rPr>
          <w:rFonts w:ascii="Arial" w:hAnsi="Arial" w:cs="Arial"/>
          <w:i/>
          <w:iCs/>
          <w:color w:val="000000"/>
          <w:sz w:val="20"/>
          <w:szCs w:val="20"/>
          <w:shd w:val="clear" w:color="auto" w:fill="FFFFFF"/>
        </w:rPr>
        <w:t>+61,971t+323,330t+32,500t</w:t>
      </w:r>
    </w:p>
    <w:p w14:paraId="4E47EE8F" w14:textId="6B7EBEFE" w:rsidR="002273B6" w:rsidRPr="00383739" w:rsidRDefault="00E62A38" w:rsidP="00E62A38">
      <w:pPr>
        <w:pStyle w:val="Odstavecseseznamem"/>
        <w:rPr>
          <w:rFonts w:ascii="Arial" w:hAnsi="Arial" w:cs="Arial"/>
          <w:i/>
          <w:iCs/>
          <w:color w:val="000000"/>
          <w:sz w:val="20"/>
          <w:szCs w:val="20"/>
          <w:shd w:val="clear" w:color="auto" w:fill="FFFFFF"/>
        </w:rPr>
      </w:pPr>
      <w:r w:rsidRPr="00383739">
        <w:rPr>
          <w:rFonts w:ascii="Arial" w:hAnsi="Arial" w:cs="Arial"/>
          <w:i/>
          <w:iCs/>
          <w:color w:val="000000"/>
          <w:sz w:val="20"/>
          <w:szCs w:val="20"/>
          <w:shd w:val="clear" w:color="auto" w:fill="FFFFFF"/>
        </w:rPr>
        <w:t>Viz položky č.: 4, 5, 6, 8, 123, 124, 125, 126, 127, 128 skupina měření: R000</w:t>
      </w:r>
      <w:r w:rsidR="00383739">
        <w:rPr>
          <w:rFonts w:ascii="Arial" w:hAnsi="Arial" w:cs="Arial"/>
          <w:i/>
          <w:iCs/>
          <w:color w:val="000000"/>
          <w:sz w:val="20"/>
          <w:szCs w:val="20"/>
          <w:shd w:val="clear" w:color="auto" w:fill="FFFFFF"/>
        </w:rPr>
        <w:t>1</w:t>
      </w:r>
    </w:p>
    <w:p w14:paraId="3897CEB9" w14:textId="77777777" w:rsidR="002273B6" w:rsidRDefault="002273B6" w:rsidP="002273B6">
      <w:pPr>
        <w:pStyle w:val="Odstavecseseznamem"/>
      </w:pPr>
    </w:p>
    <w:p w14:paraId="5BF8DAAE" w14:textId="2DCB8B04" w:rsidR="00383739" w:rsidRDefault="00383739" w:rsidP="00383739">
      <w:pPr>
        <w:pStyle w:val="Odstavecseseznamem"/>
        <w:rPr>
          <w:rFonts w:ascii="Calibri" w:hAnsi="Calibri" w:cs="Calibri"/>
          <w:i/>
          <w:iCs/>
          <w:color w:val="FF0000"/>
          <w:sz w:val="24"/>
          <w:szCs w:val="24"/>
        </w:rPr>
      </w:pPr>
      <w:r w:rsidRPr="00E62A38">
        <w:rPr>
          <w:i/>
          <w:color w:val="FF0000"/>
        </w:rPr>
        <w:t xml:space="preserve">Bylo </w:t>
      </w:r>
      <w:r w:rsidR="00CB6CCA">
        <w:rPr>
          <w:i/>
          <w:color w:val="FF0000"/>
        </w:rPr>
        <w:t>upraveno</w:t>
      </w:r>
      <w:r w:rsidRPr="00E62A38">
        <w:rPr>
          <w:i/>
          <w:color w:val="FF0000"/>
        </w:rPr>
        <w:t xml:space="preserve"> </w:t>
      </w:r>
      <w:r w:rsidR="008C5707">
        <w:rPr>
          <w:i/>
          <w:color w:val="FF0000"/>
        </w:rPr>
        <w:t>v Soupise prací</w:t>
      </w:r>
      <w:r w:rsidRPr="00E62A38">
        <w:rPr>
          <w:i/>
          <w:color w:val="FF0000"/>
        </w:rPr>
        <w:t xml:space="preserve"> (viz </w:t>
      </w:r>
      <w:r w:rsidRPr="00616368">
        <w:rPr>
          <w:i/>
          <w:color w:val="FF0000"/>
        </w:rPr>
        <w:t>F.1-SOUPIS PRACI-revize 9.2.2024_FIDIC</w:t>
      </w:r>
      <w:r w:rsidRPr="00E62A38">
        <w:rPr>
          <w:i/>
          <w:color w:val="FF0000"/>
        </w:rPr>
        <w:t>)</w:t>
      </w:r>
      <w:r>
        <w:rPr>
          <w:i/>
          <w:iCs/>
          <w:color w:val="FF0000"/>
          <w:sz w:val="24"/>
          <w:szCs w:val="24"/>
        </w:rPr>
        <w:t xml:space="preserve"> .</w:t>
      </w:r>
      <w:r w:rsidRPr="005016A1">
        <w:rPr>
          <w:rFonts w:ascii="Calibri" w:hAnsi="Calibri" w:cs="Calibri"/>
          <w:i/>
          <w:iCs/>
          <w:color w:val="FF0000"/>
          <w:sz w:val="24"/>
          <w:szCs w:val="24"/>
        </w:rPr>
        <w:t xml:space="preserve"> </w:t>
      </w:r>
    </w:p>
    <w:p w14:paraId="62C84589" w14:textId="4C841372" w:rsidR="00383739" w:rsidRPr="00614435" w:rsidRDefault="00383739" w:rsidP="00383739">
      <w:pPr>
        <w:rPr>
          <w:b/>
          <w:u w:val="single"/>
        </w:rPr>
      </w:pPr>
      <w:r w:rsidRPr="00614435">
        <w:rPr>
          <w:b/>
          <w:u w:val="single"/>
        </w:rPr>
        <w:t xml:space="preserve">Odpověď k dotazu č. </w:t>
      </w:r>
      <w:r>
        <w:rPr>
          <w:b/>
          <w:u w:val="single"/>
        </w:rPr>
        <w:t>9</w:t>
      </w:r>
      <w:r w:rsidRPr="00614435">
        <w:rPr>
          <w:b/>
          <w:u w:val="single"/>
        </w:rPr>
        <w:t xml:space="preserve"> ze dne </w:t>
      </w:r>
      <w:r>
        <w:rPr>
          <w:b/>
          <w:u w:val="single"/>
        </w:rPr>
        <w:t>9</w:t>
      </w:r>
      <w:r w:rsidRPr="00614435">
        <w:rPr>
          <w:b/>
          <w:u w:val="single"/>
        </w:rPr>
        <w:t>. 2. 2024:</w:t>
      </w:r>
    </w:p>
    <w:p w14:paraId="5E8C9CB7" w14:textId="32D01417" w:rsidR="00383739" w:rsidRDefault="00383739" w:rsidP="00383739">
      <w:pPr>
        <w:pStyle w:val="Odstavecseseznamem"/>
        <w:jc w:val="both"/>
      </w:pPr>
      <w:r w:rsidRPr="00383739">
        <w:t>Dotaz</w:t>
      </w:r>
      <w:r>
        <w:t xml:space="preserve"> </w:t>
      </w:r>
      <w:r w:rsidRPr="00383739">
        <w:t>č. 1</w:t>
      </w:r>
    </w:p>
    <w:p w14:paraId="4D9C4FD4" w14:textId="77777777" w:rsidR="00383739" w:rsidRDefault="00383739" w:rsidP="00383739">
      <w:pPr>
        <w:pStyle w:val="Odstavecseseznamem"/>
        <w:jc w:val="both"/>
      </w:pPr>
      <w:r w:rsidRPr="00383739">
        <w:t>Ve SO 101 a SO 105 je ve výkazu výměr uvedena položka č. 9113A1 SVODIDLO OCEL SILNIČ JEDNOSTR, ÚROVEŇ ZADRŽ N1, N2 - DODÁVKA A MONTÁŽ.</w:t>
      </w:r>
      <w:r>
        <w:t xml:space="preserve"> </w:t>
      </w:r>
      <w:r w:rsidRPr="00383739">
        <w:t>V projektové dokumentaci je uvažováno se svodidlem o zádržnosti H1. Navíc u SO 105 svodidlo navazuje do SO 106, kde je ve výkazu výměr svodidlo se zádržností H1.</w:t>
      </w:r>
    </w:p>
    <w:p w14:paraId="6B681122" w14:textId="77777777" w:rsidR="00383739" w:rsidRDefault="00383739" w:rsidP="00383739">
      <w:pPr>
        <w:pStyle w:val="Odstavecseseznamem"/>
        <w:jc w:val="both"/>
      </w:pPr>
      <w:r w:rsidRPr="00383739">
        <w:t>Prosím o upřesnění a sjednocení požadvků, jakou zádržnost svodidla má uchazeč ocenit?</w:t>
      </w:r>
      <w:r w:rsidRPr="00383739">
        <w:br/>
      </w:r>
      <w:r w:rsidRPr="00383739">
        <w:br/>
        <w:t>Dotaz č. 2</w:t>
      </w:r>
    </w:p>
    <w:p w14:paraId="53ABA293" w14:textId="77777777" w:rsidR="00383739" w:rsidRDefault="00383739" w:rsidP="00383739">
      <w:pPr>
        <w:pStyle w:val="Odstavecseseznamem"/>
        <w:jc w:val="both"/>
      </w:pPr>
      <w:r w:rsidRPr="00383739">
        <w:t xml:space="preserve">Ve SO 107 PRŮJEZDNÍ ÚSEK - STARÉ HRADIŠTĚ (PVNHČP) položka č. 914551 </w:t>
      </w:r>
      <w:bookmarkStart w:id="0" w:name="_GoBack"/>
      <w:r w:rsidRPr="00383739">
        <w:t>DOPRAV ZNAČ VELKOPLOŠ HLINÍK LAMELY FÓLIE</w:t>
      </w:r>
      <w:bookmarkEnd w:id="0"/>
      <w:r w:rsidRPr="00383739">
        <w:t xml:space="preserve"> TŘ 1 - DOD A MONT 4,950 m2.</w:t>
      </w:r>
      <w:r>
        <w:t xml:space="preserve"> </w:t>
      </w:r>
      <w:r w:rsidRPr="00383739">
        <w:t xml:space="preserve"> U této položky rozpočtu je chybně uvedena výměra a počet kusů. Předpokládáme, že by mělo jít o DZ IS9b u kruhového objezdu, lamel by mělo být celkem 4 kusy, a uvedené množství 4,950 m2 je tedy nedostačující. Žádáme o opravu v soupise prací?</w:t>
      </w:r>
    </w:p>
    <w:p w14:paraId="3F594313" w14:textId="77777777" w:rsidR="00383739" w:rsidRDefault="00383739" w:rsidP="00383739">
      <w:pPr>
        <w:pStyle w:val="Odstavecseseznamem"/>
        <w:jc w:val="both"/>
      </w:pPr>
      <w:r w:rsidRPr="00383739">
        <w:br/>
        <w:t>Dotaz č. 3</w:t>
      </w:r>
    </w:p>
    <w:p w14:paraId="5BA05307" w14:textId="739F78F7" w:rsidR="00383739" w:rsidRDefault="00383739" w:rsidP="00383739">
      <w:pPr>
        <w:pStyle w:val="Odstavecseseznamem"/>
        <w:jc w:val="both"/>
      </w:pPr>
      <w:r w:rsidRPr="00383739">
        <w:t>Soupis prací neobsahuje položky na dodávku sloupků a jejich instalaci k trvalému DZ. Žádáme zadavatel o doplnění počtu KS sloupků dopravního značení?</w:t>
      </w:r>
    </w:p>
    <w:p w14:paraId="47F087ED" w14:textId="719B7406" w:rsidR="00A43F9F" w:rsidRDefault="00A43F9F" w:rsidP="00383739">
      <w:pPr>
        <w:pStyle w:val="Odstavecseseznamem"/>
        <w:jc w:val="both"/>
      </w:pPr>
    </w:p>
    <w:p w14:paraId="34443F89" w14:textId="5071A2A1" w:rsidR="00A43F9F" w:rsidRDefault="00A43F9F" w:rsidP="00A43F9F">
      <w:pPr>
        <w:pStyle w:val="Odstavecseseznamem"/>
        <w:jc w:val="both"/>
        <w:rPr>
          <w:i/>
          <w:iCs/>
          <w:color w:val="FF0000"/>
          <w:sz w:val="24"/>
          <w:szCs w:val="24"/>
        </w:rPr>
      </w:pPr>
      <w:r w:rsidRPr="00A43F9F">
        <w:rPr>
          <w:u w:val="single"/>
        </w:rPr>
        <w:t>K dotazům 1. a 3.</w:t>
      </w:r>
      <w:r w:rsidRPr="00A43F9F">
        <w:t xml:space="preserve"> </w:t>
      </w:r>
      <w:r w:rsidRPr="00E62A38">
        <w:rPr>
          <w:i/>
          <w:color w:val="FF0000"/>
        </w:rPr>
        <w:t xml:space="preserve">Bylo </w:t>
      </w:r>
      <w:r w:rsidR="00CB6CCA">
        <w:rPr>
          <w:i/>
          <w:color w:val="FF0000"/>
        </w:rPr>
        <w:t>upraveno</w:t>
      </w:r>
      <w:r w:rsidRPr="00E62A38">
        <w:rPr>
          <w:i/>
          <w:color w:val="FF0000"/>
        </w:rPr>
        <w:t xml:space="preserve"> </w:t>
      </w:r>
      <w:r w:rsidR="008C5707">
        <w:rPr>
          <w:i/>
          <w:color w:val="FF0000"/>
        </w:rPr>
        <w:t xml:space="preserve">v Soupise prací </w:t>
      </w:r>
      <w:r w:rsidRPr="00E62A38">
        <w:rPr>
          <w:i/>
          <w:color w:val="FF0000"/>
        </w:rPr>
        <w:t xml:space="preserve"> </w:t>
      </w:r>
      <w:r w:rsidRPr="00616368">
        <w:rPr>
          <w:i/>
          <w:color w:val="FF0000"/>
        </w:rPr>
        <w:t>F.1-SOUPIS PRACI-revize 9.2.2024_FIDIC</w:t>
      </w:r>
      <w:r w:rsidR="008C5707">
        <w:rPr>
          <w:i/>
          <w:iCs/>
          <w:color w:val="FF0000"/>
          <w:sz w:val="24"/>
          <w:szCs w:val="24"/>
        </w:rPr>
        <w:t>.</w:t>
      </w:r>
    </w:p>
    <w:p w14:paraId="673DCFD5" w14:textId="604E2DFF" w:rsidR="00A43F9F" w:rsidRPr="00A43F9F" w:rsidRDefault="00A43F9F" w:rsidP="00A43F9F">
      <w:pPr>
        <w:pStyle w:val="Odstavecseseznamem"/>
        <w:jc w:val="both"/>
        <w:rPr>
          <w:i/>
          <w:iCs/>
          <w:color w:val="FF0000"/>
          <w:sz w:val="24"/>
          <w:szCs w:val="24"/>
        </w:rPr>
      </w:pPr>
      <w:r>
        <w:rPr>
          <w:u w:val="single"/>
        </w:rPr>
        <w:t>K dotazu 2.</w:t>
      </w:r>
      <w:r>
        <w:rPr>
          <w:i/>
          <w:iCs/>
          <w:color w:val="FF0000"/>
          <w:sz w:val="24"/>
          <w:szCs w:val="24"/>
        </w:rPr>
        <w:t xml:space="preserve"> </w:t>
      </w:r>
      <w:r w:rsidRPr="00A43F9F">
        <w:rPr>
          <w:i/>
          <w:color w:val="FF0000"/>
        </w:rPr>
        <w:t>Uvedená výměra a počet je správně</w:t>
      </w:r>
      <w:r>
        <w:rPr>
          <w:i/>
          <w:color w:val="FF0000"/>
        </w:rPr>
        <w:t>, nebude měněno</w:t>
      </w:r>
      <w:r w:rsidR="00CB6CCA">
        <w:rPr>
          <w:i/>
          <w:color w:val="FF0000"/>
        </w:rPr>
        <w:t>.</w:t>
      </w:r>
    </w:p>
    <w:p w14:paraId="110AF34C" w14:textId="10B39CF2" w:rsidR="004E0637" w:rsidRDefault="008C5707" w:rsidP="008C5707">
      <w:pPr>
        <w:jc w:val="both"/>
        <w:rPr>
          <w:i/>
          <w:color w:val="FF0000"/>
        </w:rPr>
      </w:pPr>
      <w:r>
        <w:rPr>
          <w:i/>
          <w:color w:val="FF0000"/>
        </w:rPr>
        <w:t>Dle výše uvedených vysvětlení k podaným dotazům</w:t>
      </w:r>
      <w:r w:rsidR="004E0637" w:rsidRPr="00EC58F7">
        <w:rPr>
          <w:i/>
          <w:color w:val="FF0000"/>
        </w:rPr>
        <w:t xml:space="preserve"> zadavatel vydal nový Soupis prací </w:t>
      </w:r>
      <w:r>
        <w:rPr>
          <w:i/>
          <w:color w:val="FF0000"/>
        </w:rPr>
        <w:t xml:space="preserve"> </w:t>
      </w:r>
      <w:r w:rsidR="004E0637" w:rsidRPr="00616368">
        <w:rPr>
          <w:i/>
          <w:color w:val="FF0000"/>
        </w:rPr>
        <w:t>F.1-SOUPIS PRACI-revize 9.2.2024_FIDIC</w:t>
      </w:r>
      <w:r w:rsidR="004E0637" w:rsidRPr="00EC58F7">
        <w:rPr>
          <w:i/>
          <w:color w:val="FF0000"/>
        </w:rPr>
        <w:t>, který v plném rozsahu nahrazuje původní Soupis prací</w:t>
      </w:r>
      <w:r>
        <w:rPr>
          <w:i/>
          <w:color w:val="FF0000"/>
        </w:rPr>
        <w:t xml:space="preserve"> pro stavbu </w:t>
      </w:r>
      <w:r w:rsidRPr="00EC58F7">
        <w:rPr>
          <w:i/>
          <w:color w:val="FF0000"/>
        </w:rPr>
        <w:t>–Modernizace silnice II324 Staré Hradiště – Hrobice (průtah</w:t>
      </w:r>
      <w:r>
        <w:rPr>
          <w:i/>
          <w:color w:val="FF0000"/>
        </w:rPr>
        <w:t>).</w:t>
      </w:r>
    </w:p>
    <w:p w14:paraId="5A5C9509" w14:textId="278FF061" w:rsidR="008C5707" w:rsidRPr="00EC58F7" w:rsidRDefault="008C5707" w:rsidP="008C5707">
      <w:pPr>
        <w:jc w:val="both"/>
        <w:rPr>
          <w:rFonts w:eastAsia="Times New Roman"/>
          <w:i/>
          <w:color w:val="FF0000"/>
        </w:rPr>
      </w:pPr>
      <w:r>
        <w:rPr>
          <w:rFonts w:eastAsia="Times New Roman"/>
          <w:i/>
          <w:color w:val="FF0000"/>
        </w:rPr>
        <w:t>Dále nově zveřejňuje d</w:t>
      </w:r>
      <w:r>
        <w:rPr>
          <w:rFonts w:eastAsia="Times New Roman"/>
          <w:i/>
          <w:color w:val="FF0000"/>
        </w:rPr>
        <w:t xml:space="preserve">okument  </w:t>
      </w:r>
      <w:r w:rsidRPr="008C5707">
        <w:rPr>
          <w:rFonts w:eastAsia="Times New Roman"/>
          <w:i/>
        </w:rPr>
        <w:t>„</w:t>
      </w:r>
      <w:r w:rsidRPr="008C5707">
        <w:rPr>
          <w:rFonts w:eastAsia="Times New Roman"/>
        </w:rPr>
        <w:t>N</w:t>
      </w:r>
      <w:r>
        <w:rPr>
          <w:rFonts w:eastAsia="Times New Roman"/>
        </w:rPr>
        <w:t>ově nadefinované skupiny měření položek – oprava odkazů 7.2.2024</w:t>
      </w:r>
      <w:r w:rsidRPr="008C5707">
        <w:rPr>
          <w:rFonts w:eastAsia="Times New Roman"/>
        </w:rPr>
        <w:t>“</w:t>
      </w:r>
      <w:r w:rsidRPr="00FA642D">
        <w:rPr>
          <w:rFonts w:eastAsia="Times New Roman"/>
          <w:i/>
          <w:color w:val="FF0000"/>
        </w:rPr>
        <w:t xml:space="preserve"> </w:t>
      </w:r>
      <w:r>
        <w:rPr>
          <w:rFonts w:eastAsia="Times New Roman"/>
          <w:i/>
          <w:color w:val="FF0000"/>
        </w:rPr>
        <w:t>bude nově zveřejněn.</w:t>
      </w:r>
    </w:p>
    <w:p w14:paraId="7AC23CB5" w14:textId="289D73A0" w:rsidR="00EC58F7" w:rsidRPr="008C5707" w:rsidRDefault="00EC58F7" w:rsidP="008C5707">
      <w:pPr>
        <w:jc w:val="both"/>
        <w:rPr>
          <w:color w:val="FF0000"/>
        </w:rPr>
      </w:pPr>
      <w:r w:rsidRPr="008C5707">
        <w:rPr>
          <w:color w:val="FF0000"/>
        </w:rPr>
        <w:t xml:space="preserve">Zadavatel zároveň prodlužuje lhůtu </w:t>
      </w:r>
      <w:r w:rsidR="008C5707">
        <w:rPr>
          <w:color w:val="FF0000"/>
        </w:rPr>
        <w:t xml:space="preserve">o 6 </w:t>
      </w:r>
      <w:r w:rsidRPr="008C5707">
        <w:rPr>
          <w:color w:val="FF0000"/>
        </w:rPr>
        <w:t>dní.</w:t>
      </w:r>
    </w:p>
    <w:sectPr w:rsidR="00EC58F7" w:rsidRPr="008C57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F66ED" w14:textId="77777777" w:rsidR="00700378" w:rsidRDefault="00700378" w:rsidP="00F1407E">
      <w:pPr>
        <w:spacing w:after="0" w:line="240" w:lineRule="auto"/>
      </w:pPr>
      <w:r>
        <w:separator/>
      </w:r>
    </w:p>
  </w:endnote>
  <w:endnote w:type="continuationSeparator" w:id="0">
    <w:p w14:paraId="2EAC8178" w14:textId="77777777" w:rsidR="00700378" w:rsidRDefault="00700378" w:rsidP="00F14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Apto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1678A" w14:textId="77777777" w:rsidR="00700378" w:rsidRDefault="00700378" w:rsidP="00F1407E">
      <w:pPr>
        <w:spacing w:after="0" w:line="240" w:lineRule="auto"/>
      </w:pPr>
      <w:r>
        <w:separator/>
      </w:r>
    </w:p>
  </w:footnote>
  <w:footnote w:type="continuationSeparator" w:id="0">
    <w:p w14:paraId="5E5E4948" w14:textId="77777777" w:rsidR="00700378" w:rsidRDefault="00700378" w:rsidP="00F140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75CEF"/>
    <w:multiLevelType w:val="hybridMultilevel"/>
    <w:tmpl w:val="D324BCE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4255F1D"/>
    <w:multiLevelType w:val="hybridMultilevel"/>
    <w:tmpl w:val="26445B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A6610F7"/>
    <w:multiLevelType w:val="hybridMultilevel"/>
    <w:tmpl w:val="5E6E26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07E"/>
    <w:rsid w:val="001309A9"/>
    <w:rsid w:val="002273B6"/>
    <w:rsid w:val="00247019"/>
    <w:rsid w:val="00284080"/>
    <w:rsid w:val="00383739"/>
    <w:rsid w:val="003A0A05"/>
    <w:rsid w:val="004E0637"/>
    <w:rsid w:val="005016A1"/>
    <w:rsid w:val="00614435"/>
    <w:rsid w:val="00616368"/>
    <w:rsid w:val="00700378"/>
    <w:rsid w:val="0074664A"/>
    <w:rsid w:val="00810C2E"/>
    <w:rsid w:val="008C5707"/>
    <w:rsid w:val="00920780"/>
    <w:rsid w:val="009727C3"/>
    <w:rsid w:val="00980F39"/>
    <w:rsid w:val="009A3AB3"/>
    <w:rsid w:val="00A43F9F"/>
    <w:rsid w:val="00CB6CCA"/>
    <w:rsid w:val="00CC044B"/>
    <w:rsid w:val="00E32C5A"/>
    <w:rsid w:val="00E62A38"/>
    <w:rsid w:val="00EC58F7"/>
    <w:rsid w:val="00F1407E"/>
    <w:rsid w:val="00F603EF"/>
    <w:rsid w:val="00FA64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4E5C3"/>
  <w15:chartTrackingRefBased/>
  <w15:docId w15:val="{1B19A3CC-A204-413B-8A97-DBA107B0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1407E"/>
    <w:pPr>
      <w:ind w:left="720"/>
      <w:contextualSpacing/>
    </w:pPr>
  </w:style>
  <w:style w:type="paragraph" w:styleId="Zhlav">
    <w:name w:val="header"/>
    <w:basedOn w:val="Normln"/>
    <w:link w:val="ZhlavChar"/>
    <w:uiPriority w:val="99"/>
    <w:unhideWhenUsed/>
    <w:rsid w:val="00F1407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407E"/>
  </w:style>
  <w:style w:type="paragraph" w:customStyle="1" w:styleId="Default">
    <w:name w:val="Default"/>
    <w:rsid w:val="00247019"/>
    <w:pPr>
      <w:autoSpaceDE w:val="0"/>
      <w:autoSpaceDN w:val="0"/>
      <w:adjustRightInd w:val="0"/>
      <w:spacing w:after="0" w:line="240" w:lineRule="auto"/>
    </w:pPr>
    <w:rPr>
      <w:rFonts w:ascii="Garamond" w:hAnsi="Garamond" w:cs="Garamond"/>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622205">
      <w:bodyDiv w:val="1"/>
      <w:marLeft w:val="0"/>
      <w:marRight w:val="0"/>
      <w:marTop w:val="0"/>
      <w:marBottom w:val="0"/>
      <w:divBdr>
        <w:top w:val="none" w:sz="0" w:space="0" w:color="auto"/>
        <w:left w:val="none" w:sz="0" w:space="0" w:color="auto"/>
        <w:bottom w:val="none" w:sz="0" w:space="0" w:color="auto"/>
        <w:right w:val="none" w:sz="0" w:space="0" w:color="auto"/>
      </w:divBdr>
    </w:div>
    <w:div w:id="806582078">
      <w:bodyDiv w:val="1"/>
      <w:marLeft w:val="0"/>
      <w:marRight w:val="0"/>
      <w:marTop w:val="0"/>
      <w:marBottom w:val="0"/>
      <w:divBdr>
        <w:top w:val="none" w:sz="0" w:space="0" w:color="auto"/>
        <w:left w:val="none" w:sz="0" w:space="0" w:color="auto"/>
        <w:bottom w:val="none" w:sz="0" w:space="0" w:color="auto"/>
        <w:right w:val="none" w:sz="0" w:space="0" w:color="auto"/>
      </w:divBdr>
    </w:div>
    <w:div w:id="903683911">
      <w:bodyDiv w:val="1"/>
      <w:marLeft w:val="0"/>
      <w:marRight w:val="0"/>
      <w:marTop w:val="0"/>
      <w:marBottom w:val="0"/>
      <w:divBdr>
        <w:top w:val="none" w:sz="0" w:space="0" w:color="auto"/>
        <w:left w:val="none" w:sz="0" w:space="0" w:color="auto"/>
        <w:bottom w:val="none" w:sz="0" w:space="0" w:color="auto"/>
        <w:right w:val="none" w:sz="0" w:space="0" w:color="auto"/>
      </w:divBdr>
    </w:div>
    <w:div w:id="1041704662">
      <w:bodyDiv w:val="1"/>
      <w:marLeft w:val="0"/>
      <w:marRight w:val="0"/>
      <w:marTop w:val="0"/>
      <w:marBottom w:val="0"/>
      <w:divBdr>
        <w:top w:val="none" w:sz="0" w:space="0" w:color="auto"/>
        <w:left w:val="none" w:sz="0" w:space="0" w:color="auto"/>
        <w:bottom w:val="none" w:sz="0" w:space="0" w:color="auto"/>
        <w:right w:val="none" w:sz="0" w:space="0" w:color="auto"/>
      </w:divBdr>
    </w:div>
    <w:div w:id="1258714113">
      <w:bodyDiv w:val="1"/>
      <w:marLeft w:val="0"/>
      <w:marRight w:val="0"/>
      <w:marTop w:val="0"/>
      <w:marBottom w:val="0"/>
      <w:divBdr>
        <w:top w:val="none" w:sz="0" w:space="0" w:color="auto"/>
        <w:left w:val="none" w:sz="0" w:space="0" w:color="auto"/>
        <w:bottom w:val="none" w:sz="0" w:space="0" w:color="auto"/>
        <w:right w:val="none" w:sz="0" w:space="0" w:color="auto"/>
      </w:divBdr>
    </w:div>
    <w:div w:id="1305116394">
      <w:bodyDiv w:val="1"/>
      <w:marLeft w:val="0"/>
      <w:marRight w:val="0"/>
      <w:marTop w:val="0"/>
      <w:marBottom w:val="0"/>
      <w:divBdr>
        <w:top w:val="none" w:sz="0" w:space="0" w:color="auto"/>
        <w:left w:val="none" w:sz="0" w:space="0" w:color="auto"/>
        <w:bottom w:val="none" w:sz="0" w:space="0" w:color="auto"/>
        <w:right w:val="none" w:sz="0" w:space="0" w:color="auto"/>
      </w:divBdr>
    </w:div>
    <w:div w:id="1703558290">
      <w:bodyDiv w:val="1"/>
      <w:marLeft w:val="0"/>
      <w:marRight w:val="0"/>
      <w:marTop w:val="0"/>
      <w:marBottom w:val="0"/>
      <w:divBdr>
        <w:top w:val="none" w:sz="0" w:space="0" w:color="auto"/>
        <w:left w:val="none" w:sz="0" w:space="0" w:color="auto"/>
        <w:bottom w:val="none" w:sz="0" w:space="0" w:color="auto"/>
        <w:right w:val="none" w:sz="0" w:space="0" w:color="auto"/>
      </w:divBdr>
    </w:div>
    <w:div w:id="1834636530">
      <w:bodyDiv w:val="1"/>
      <w:marLeft w:val="0"/>
      <w:marRight w:val="0"/>
      <w:marTop w:val="0"/>
      <w:marBottom w:val="0"/>
      <w:divBdr>
        <w:top w:val="none" w:sz="0" w:space="0" w:color="auto"/>
        <w:left w:val="none" w:sz="0" w:space="0" w:color="auto"/>
        <w:bottom w:val="none" w:sz="0" w:space="0" w:color="auto"/>
        <w:right w:val="none" w:sz="0" w:space="0" w:color="auto"/>
      </w:divBdr>
    </w:div>
    <w:div w:id="193351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A5A78.B991178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cid:image002.png@01DA59D6.12B92D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cid:image001.png@01DA59D6.12B92D5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1623</Words>
  <Characters>9576</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Moravec, Richard</dc:creator>
  <cp:keywords/>
  <dc:description/>
  <cp:lastModifiedBy>Kroutilová Radka Ing.</cp:lastModifiedBy>
  <cp:revision>3</cp:revision>
  <dcterms:created xsi:type="dcterms:W3CDTF">2024-02-12T14:32:00Z</dcterms:created>
  <dcterms:modified xsi:type="dcterms:W3CDTF">2024-02-12T16:47:00Z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187033-a086-494b-a5c0-7ba45d9b9ed0_Enabled">
    <vt:lpwstr>true</vt:lpwstr>
  </property>
  <property fmtid="{D5CDD505-2E9C-101B-9397-08002B2CF9AE}" pid="3" name="MSIP_Label_c5187033-a086-494b-a5c0-7ba45d9b9ed0_SetDate">
    <vt:lpwstr>2024-02-07T14:33:37Z</vt:lpwstr>
  </property>
  <property fmtid="{D5CDD505-2E9C-101B-9397-08002B2CF9AE}" pid="4" name="MSIP_Label_c5187033-a086-494b-a5c0-7ba45d9b9ed0_Method">
    <vt:lpwstr>Privileged</vt:lpwstr>
  </property>
  <property fmtid="{D5CDD505-2E9C-101B-9397-08002B2CF9AE}" pid="5" name="MSIP_Label_c5187033-a086-494b-a5c0-7ba45d9b9ed0_Name">
    <vt:lpwstr>SCE-CZ-General-NoMarking</vt:lpwstr>
  </property>
  <property fmtid="{D5CDD505-2E9C-101B-9397-08002B2CF9AE}" pid="6" name="MSIP_Label_c5187033-a086-494b-a5c0-7ba45d9b9ed0_SiteId">
    <vt:lpwstr>33dab507-5210-4075-805b-f2717d8cfa74</vt:lpwstr>
  </property>
  <property fmtid="{D5CDD505-2E9C-101B-9397-08002B2CF9AE}" pid="7" name="MSIP_Label_c5187033-a086-494b-a5c0-7ba45d9b9ed0_ActionId">
    <vt:lpwstr>1e2fa5b2-0523-4246-bcbf-1c0e92a4aa36</vt:lpwstr>
  </property>
  <property fmtid="{D5CDD505-2E9C-101B-9397-08002B2CF9AE}" pid="8" name="MSIP_Label_c5187033-a086-494b-a5c0-7ba45d9b9ed0_ContentBits">
    <vt:lpwstr>0</vt:lpwstr>
  </property>
</Properties>
</file>